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ind w:firstLine="160"/>
        <w:spacing w:line="360" w:lineRule="auto"/>
        <w:rPr>
          <w:rFonts w:hint="eastAsia" w:ascii="CESI黑体-GB2312" w:hAnsi="CESI黑体-GB2312" w:eastAsia="CESI黑体-GB2312" w:cs="CESI黑体-GB2312"/>
          <w:color w:val="000000"/>
          <w:sz w:val="32"/>
          <w:szCs w:val="32"/>
          <w:highlight w:val="none"/>
        </w:rPr>
        <w:outlineLvl w:val="9"/>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94"/>
        <w:ind w:firstLine="300"/>
        <w:spacing w:line="360" w:lineRule="auto"/>
        <w:rPr>
          <w:color w:val="000000"/>
          <w:sz w:val="60"/>
          <w:szCs w:val="60"/>
          <w:highlight w:val="none"/>
        </w:rPr>
        <w:outlineLvl w:val="9"/>
      </w:pPr>
      <w:r>
        <w:rPr>
          <w:color w:val="000000"/>
          <w:sz w:val="60"/>
          <w:szCs w:val="60"/>
          <w:highlight w:val="none"/>
        </w:rPr>
      </w:r>
      <w:r/>
    </w:p>
    <w:p>
      <w:pPr>
        <w:pStyle w:val="1094"/>
        <w:jc w:val="center"/>
        <w:rPr>
          <w:rFonts w:hint="eastAsia" w:eastAsia="宋体"/>
          <w:b/>
          <w:bCs/>
          <w:color w:val="000000"/>
          <w:sz w:val="60"/>
          <w:szCs w:val="60"/>
          <w:highlight w:val="none"/>
          <w:lang w:eastAsia="zh-CN"/>
        </w:rPr>
        <w:outlineLvl w:val="9"/>
      </w:pPr>
      <w:r>
        <w:rPr>
          <w:rFonts w:hint="eastAsia"/>
          <w:b/>
          <w:bCs/>
          <w:color w:val="000000"/>
          <w:sz w:val="60"/>
          <w:szCs w:val="60"/>
          <w:highlight w:val="none"/>
          <w:lang w:eastAsia="zh-CN"/>
        </w:rPr>
        <w:t xml:space="preserve">2025年天宁水质自动站及空气自动站维保服务项目</w:t>
      </w:r>
      <w:r>
        <w:rPr>
          <w:rFonts w:hint="eastAsia" w:eastAsia="宋体"/>
          <w:b/>
          <w:bCs/>
          <w:color w:val="000000"/>
          <w:sz w:val="60"/>
          <w:szCs w:val="60"/>
          <w:highlight w:val="none"/>
          <w:lang w:eastAsia="zh-CN"/>
        </w:rPr>
      </w:r>
      <w:r/>
    </w:p>
    <w:p>
      <w:pPr>
        <w:pStyle w:val="1094"/>
        <w:jc w:val="center"/>
        <w:rPr>
          <w:b/>
          <w:bCs/>
          <w:color w:val="000000"/>
          <w:sz w:val="60"/>
          <w:szCs w:val="60"/>
          <w:highlight w:val="none"/>
        </w:rPr>
        <w:outlineLvl w:val="9"/>
      </w:pPr>
      <w:r>
        <w:rPr>
          <w:b/>
          <w:bCs/>
          <w:color w:val="000000"/>
          <w:sz w:val="60"/>
          <w:szCs w:val="60"/>
          <w:highlight w:val="none"/>
        </w:rPr>
        <w:t xml:space="preserve">竞争性磋商文件</w:t>
      </w:r>
      <w:r>
        <w:rPr>
          <w:b/>
          <w:bCs/>
          <w:color w:val="000000"/>
          <w:sz w:val="60"/>
          <w:szCs w:val="60"/>
          <w:highlight w:val="none"/>
        </w:rPr>
      </w:r>
      <w:r/>
    </w:p>
    <w:p>
      <w:pPr>
        <w:pStyle w:val="1094"/>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1094"/>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1094"/>
        <w:ind w:left="2832" w:hanging="1900"/>
        <w:jc w:val="left"/>
        <w:spacing w:line="360" w:lineRule="auto"/>
        <w:tabs>
          <w:tab w:val="left" w:pos="5609"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2025年天宁水质自动站及空气自动站维保服务项目</w:t>
      </w:r>
      <w:r>
        <w:rPr>
          <w:rFonts w:hint="eastAsia" w:eastAsia="宋体"/>
          <w:bCs/>
          <w:color w:val="000000"/>
          <w:sz w:val="36"/>
          <w:szCs w:val="36"/>
          <w:highlight w:val="none"/>
          <w:lang w:eastAsia="zh-CN"/>
        </w:rPr>
      </w:r>
      <w:r/>
    </w:p>
    <w:p>
      <w:pPr>
        <w:pStyle w:val="1094"/>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JSZC-320402-SYZB-C2025-0110</w:t>
      </w:r>
      <w:r>
        <w:rPr>
          <w:rFonts w:hint="eastAsia" w:eastAsia="宋体"/>
          <w:bCs/>
          <w:color w:val="000000"/>
          <w:sz w:val="36"/>
          <w:szCs w:val="36"/>
          <w:highlight w:val="none"/>
          <w:lang w:eastAsia="zh-CN"/>
        </w:rPr>
      </w:r>
      <w:r/>
    </w:p>
    <w:p>
      <w:pPr>
        <w:pStyle w:val="1094"/>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bCs/>
          <w:color w:val="000000"/>
          <w:sz w:val="36"/>
          <w:szCs w:val="36"/>
          <w:highlight w:val="none"/>
        </w:rPr>
        <w:t xml:space="preserve">采 购 人：</w:t>
      </w:r>
      <w:r>
        <w:rPr>
          <w:rFonts w:hint="eastAsia"/>
          <w:bCs/>
          <w:color w:val="000000"/>
          <w:sz w:val="36"/>
          <w:szCs w:val="36"/>
          <w:highlight w:val="none"/>
          <w:lang w:val="en-US" w:eastAsia="zh-CN"/>
        </w:rPr>
        <w:t xml:space="preserve">常州市天宁生态环境局</w:t>
      </w:r>
      <w:r>
        <w:rPr>
          <w:rFonts w:hint="eastAsia" w:eastAsia="宋体"/>
          <w:bCs/>
          <w:color w:val="000000"/>
          <w:sz w:val="36"/>
          <w:szCs w:val="36"/>
          <w:highlight w:val="none"/>
          <w:lang w:val="en-US" w:eastAsia="zh-CN"/>
        </w:rPr>
      </w:r>
      <w:r/>
    </w:p>
    <w:p>
      <w:pPr>
        <w:pStyle w:val="1094"/>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1094"/>
        <w:jc w:val="center"/>
        <w:spacing w:before="100" w:after="240" w:line="500" w:lineRule="exact"/>
        <w:rPr>
          <w:b/>
          <w:bCs/>
          <w:color w:val="000000"/>
          <w:sz w:val="44"/>
          <w:highlight w:val="none"/>
        </w:rPr>
        <w:outlineLvl w:val="9"/>
      </w:pPr>
      <w:r>
        <w:rPr>
          <w:b/>
          <w:bCs/>
          <w:color w:val="000000"/>
          <w:sz w:val="44"/>
          <w:highlight w:val="none"/>
        </w:rPr>
        <w:br w:type="page" w:clear="all"/>
      </w:r>
      <w:bookmarkStart w:id="0" w:name="_Toc104818924"/>
      <w:r>
        <w:rPr>
          <w:b/>
          <w:bCs/>
          <w:color w:val="000000"/>
          <w:sz w:val="44"/>
          <w:highlight w:val="none"/>
        </w:rPr>
      </w:r>
      <w:r/>
    </w:p>
    <w:p>
      <w:pPr>
        <w:pStyle w:val="1094"/>
        <w:jc w:val="center"/>
        <w:spacing w:before="100" w:after="240" w:line="500" w:lineRule="exact"/>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t xml:space="preserve">目      录</w:t>
      </w:r>
      <w:bookmarkEnd w:id="0"/>
      <w:r>
        <w:rPr>
          <w:rFonts w:hint="eastAsia" w:ascii="宋体" w:hAnsi="宋体" w:eastAsia="宋体" w:cs="宋体"/>
          <w:b/>
          <w:color w:val="000000"/>
          <w:sz w:val="44"/>
          <w:szCs w:val="44"/>
          <w:highlight w:val="none"/>
        </w:rPr>
      </w:r>
      <w:r/>
    </w:p>
    <w:p>
      <w:pPr>
        <w:pStyle w:val="1094"/>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TOC \o "1-1" \h \u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_Toc8614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第一章   采购邀请</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_Toc8614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1</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_Toc5724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第二章   供应商须知</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_Toc5724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6</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_Toc2600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第三章   评审程序、评审方法和评审标准</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_Toc2600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21</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_Toc8874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第四章   采购需求</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_Toc8874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33</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_Toc104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第五章   合同草案条款</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_Toc104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39</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Style w:val="1173"/>
          <w:rFonts w:hint="eastAsia" w:ascii="宋体" w:hAnsi="宋体" w:eastAsia="宋体" w:cs="宋体"/>
          <w:color w:val="000000"/>
          <w:sz w:val="32"/>
          <w:szCs w:val="32"/>
          <w:highlight w:val="none"/>
        </w:rPr>
        <w:outlineLvl w:val="9"/>
      </w:pP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HYPERLINK \l _Toc10386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第六章   响应文件格式</w:t>
      </w:r>
      <w:r>
        <w:rPr>
          <w:rStyle w:val="1173"/>
          <w:rFonts w:hint="eastAsia" w:ascii="宋体" w:hAnsi="宋体" w:eastAsia="宋体" w:cs="宋体"/>
          <w:color w:val="000000"/>
          <w:sz w:val="32"/>
          <w:szCs w:val="32"/>
          <w:highlight w:val="none"/>
        </w:rPr>
        <w:tab/>
      </w:r>
      <w:r>
        <w:rPr>
          <w:rStyle w:val="1173"/>
          <w:rFonts w:hint="eastAsia" w:ascii="宋体" w:hAnsi="宋体" w:eastAsia="宋体" w:cs="宋体"/>
          <w:color w:val="000000"/>
          <w:sz w:val="32"/>
          <w:szCs w:val="32"/>
          <w:highlight w:val="none"/>
        </w:rPr>
        <w:fldChar w:fldCharType="begin"/>
      </w:r>
      <w:r>
        <w:rPr>
          <w:rStyle w:val="1173"/>
          <w:rFonts w:hint="eastAsia" w:ascii="宋体" w:hAnsi="宋体" w:eastAsia="宋体" w:cs="宋体"/>
          <w:color w:val="000000"/>
          <w:sz w:val="32"/>
          <w:szCs w:val="32"/>
          <w:highlight w:val="none"/>
        </w:rPr>
        <w:instrText xml:space="preserve"> PAGEREF _Toc10386 \h </w:instrText>
      </w:r>
      <w:r>
        <w:rPr>
          <w:rStyle w:val="1173"/>
          <w:rFonts w:hint="eastAsia" w:ascii="宋体" w:hAnsi="宋体" w:eastAsia="宋体" w:cs="宋体"/>
          <w:color w:val="000000"/>
          <w:sz w:val="32"/>
          <w:szCs w:val="32"/>
          <w:highlight w:val="none"/>
        </w:rPr>
        <w:fldChar w:fldCharType="separate"/>
      </w:r>
      <w:r>
        <w:rPr>
          <w:rStyle w:val="1173"/>
          <w:rFonts w:hint="eastAsia" w:ascii="宋体" w:hAnsi="宋体" w:eastAsia="宋体" w:cs="宋体"/>
          <w:color w:val="000000"/>
          <w:sz w:val="32"/>
          <w:szCs w:val="32"/>
          <w:highlight w:val="none"/>
        </w:rPr>
        <w:t xml:space="preserve">50</w:t>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fldChar w:fldCharType="end"/>
      </w:r>
      <w:r>
        <w:rPr>
          <w:rStyle w:val="1173"/>
          <w:rFonts w:hint="eastAsia" w:ascii="宋体" w:hAnsi="宋体" w:eastAsia="宋体" w:cs="宋体"/>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Style w:val="1173"/>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1150"/>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Fonts w:hint="eastAsia" w:ascii="宋体" w:hAnsi="宋体" w:eastAsia="宋体" w:cs="宋体"/>
          <w:b w:val="0"/>
          <w:color w:val="000000"/>
          <w:sz w:val="32"/>
          <w:szCs w:val="32"/>
          <w:highlight w:val="none"/>
        </w:rPr>
      </w:r>
      <w:r/>
    </w:p>
    <w:p>
      <w:pPr>
        <w:pStyle w:val="1094"/>
        <w:jc w:val="center"/>
        <w:keepLines w:val="0"/>
        <w:keepNext w:val="0"/>
        <w:pageBreakBefore w:val="0"/>
        <w:spacing w:line="360" w:lineRule="auto"/>
        <w:widowControl w:val="off"/>
        <w:rPr>
          <w:rFonts w:hint="eastAsia" w:ascii="宋体" w:hAnsi="宋体" w:eastAsia="宋体" w:cs="宋体"/>
          <w:b/>
          <w:color w:val="000000"/>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b/>
          <w:color w:val="000000"/>
          <w:sz w:val="32"/>
          <w:szCs w:val="32"/>
          <w:highlight w:val="none"/>
        </w:rPr>
        <w:br w:type="page" w:clear="all"/>
      </w:r>
      <w:r/>
    </w:p>
    <w:p>
      <w:pPr>
        <w:pStyle w:val="1094"/>
        <w:jc w:val="center"/>
        <w:spacing w:line="360" w:lineRule="auto"/>
        <w:rPr>
          <w:b/>
          <w:color w:val="000000"/>
          <w:sz w:val="36"/>
          <w:szCs w:val="36"/>
          <w:highlight w:val="none"/>
        </w:rPr>
        <w:outlineLvl w:val="0"/>
      </w:pPr>
      <w:r/>
      <w:bookmarkStart w:id="1" w:name="_Toc104818925"/>
      <w:r/>
      <w:bookmarkStart w:id="2" w:name="_Toc8614"/>
      <w:r>
        <w:rPr>
          <w:b/>
          <w:color w:val="000000"/>
          <w:sz w:val="36"/>
          <w:szCs w:val="36"/>
          <w:highlight w:val="none"/>
        </w:rPr>
        <w:t xml:space="preserve">第一章   采购邀请</w:t>
      </w:r>
      <w:bookmarkEnd w:id="1"/>
      <w:r/>
      <w:bookmarkEnd w:id="2"/>
      <w:r/>
      <w:bookmarkStart w:id="3" w:name="_Toc28359002"/>
      <w:r/>
      <w:bookmarkStart w:id="4" w:name="_Toc35393621"/>
      <w:r/>
      <w:bookmarkStart w:id="5" w:name="_Toc35393790"/>
      <w:r/>
      <w:bookmarkStart w:id="6" w:name="_Toc28359079"/>
      <w:r/>
      <w:bookmarkStart w:id="7" w:name="_Hlk24379207"/>
      <w:r>
        <w:rPr>
          <w:b/>
          <w:color w:val="000000"/>
          <w:sz w:val="36"/>
          <w:szCs w:val="36"/>
          <w:highlight w:val="none"/>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一、项目基本情况</w:t>
      </w:r>
      <w:bookmarkEnd w:id="3"/>
      <w:r/>
      <w:bookmarkEnd w:id="4"/>
      <w:r/>
      <w:bookmarkEnd w:id="5"/>
      <w:r/>
      <w:bookmarkEnd w:id="6"/>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JSZC-320402-SYZB-C2025-0110</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2025年天宁水质自动站及空气自动站维保服务项目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bookmarkEnd w:id="7"/>
      <w:r>
        <w:rPr>
          <w:rFonts w:hint="eastAsia" w:ascii="宋体" w:hAnsi="宋体" w:eastAsia="宋体" w:cs="宋体"/>
          <w:color w:val="000000"/>
          <w:sz w:val="24"/>
          <w:szCs w:val="24"/>
          <w:highlight w:val="none"/>
        </w:rPr>
        <w:t xml:space="preserve">4.项目预算金额：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113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01包</w:t>
      </w:r>
      <w:r>
        <w:rPr>
          <w:rFonts w:hint="eastAsia" w:ascii="宋体" w:hAnsi="宋体" w:eastAsia="宋体" w:cs="宋体"/>
          <w:color w:val="000000"/>
          <w:sz w:val="24"/>
          <w:szCs w:val="24"/>
          <w:highlight w:val="none"/>
          <w:u w:val="single"/>
          <w:lang w:val="en-US" w:eastAsia="zh-CN"/>
        </w:rPr>
        <w:t xml:space="preserve"> 38</w:t>
      </w:r>
      <w:r>
        <w:rPr>
          <w:rFonts w:hint="eastAsia" w:ascii="宋体" w:hAnsi="宋体" w:eastAsia="宋体" w:cs="宋体"/>
          <w:color w:val="000000"/>
          <w:sz w:val="24"/>
          <w:szCs w:val="24"/>
          <w:highlight w:val="none"/>
          <w:lang w:val="en-US" w:eastAsia="zh-CN"/>
        </w:rPr>
        <w:t xml:space="preserve">万元；02包</w:t>
      </w:r>
      <w:r>
        <w:rPr>
          <w:rFonts w:hint="eastAsia" w:ascii="宋体" w:hAnsi="宋体" w:eastAsia="宋体" w:cs="宋体"/>
          <w:color w:val="000000"/>
          <w:sz w:val="24"/>
          <w:szCs w:val="24"/>
          <w:highlight w:val="none"/>
          <w:u w:val="single"/>
          <w:lang w:val="en-US" w:eastAsia="zh-CN"/>
        </w:rPr>
        <w:t xml:space="preserve"> 75</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项目最高限价：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110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01包</w:t>
      </w:r>
      <w:r>
        <w:rPr>
          <w:rFonts w:hint="eastAsia" w:ascii="宋体" w:hAnsi="宋体" w:eastAsia="宋体" w:cs="宋体"/>
          <w:color w:val="000000"/>
          <w:sz w:val="24"/>
          <w:szCs w:val="24"/>
          <w:highlight w:val="none"/>
          <w:u w:val="single"/>
          <w:lang w:val="en-US" w:eastAsia="zh-CN"/>
        </w:rPr>
        <w:t xml:space="preserve"> 37</w:t>
      </w:r>
      <w:r>
        <w:rPr>
          <w:rFonts w:hint="eastAsia" w:ascii="宋体" w:hAnsi="宋体" w:eastAsia="宋体" w:cs="宋体"/>
          <w:color w:val="000000"/>
          <w:sz w:val="24"/>
          <w:szCs w:val="24"/>
          <w:highlight w:val="none"/>
          <w:lang w:val="en-US" w:eastAsia="zh-CN"/>
        </w:rPr>
        <w:t xml:space="preserve">万元；02包</w:t>
      </w:r>
      <w:r>
        <w:rPr>
          <w:rFonts w:hint="eastAsia" w:ascii="宋体" w:hAnsi="宋体" w:eastAsia="宋体" w:cs="宋体"/>
          <w:color w:val="000000"/>
          <w:sz w:val="24"/>
          <w:szCs w:val="24"/>
          <w:highlight w:val="none"/>
          <w:u w:val="single"/>
          <w:lang w:val="en-US" w:eastAsia="zh-CN"/>
        </w:rPr>
        <w:t xml:space="preserve"> 73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106"/>
        <w:gridCol w:w="1470"/>
        <w:gridCol w:w="1155"/>
        <w:gridCol w:w="4090"/>
      </w:tblGrid>
      <w:tr>
        <w:trPr>
          <w:trHeight w:val="454"/>
        </w:trPr>
        <w:tc>
          <w:tcPr>
            <w:tcW w:w="467"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包号</w:t>
            </w:r>
            <w:r>
              <w:rPr>
                <w:rFonts w:ascii="宋体" w:hAnsi="宋体" w:eastAsia="宋体" w:cs="宋体"/>
                <w:bCs/>
                <w:color w:val="000000"/>
                <w:sz w:val="24"/>
                <w:szCs w:val="24"/>
                <w:highlight w:val="none"/>
                <w:lang w:val="en-US" w:eastAsia="zh-CN"/>
              </w:rPr>
            </w:r>
            <w:r/>
          </w:p>
        </w:tc>
        <w:tc>
          <w:tcPr>
            <w:tcW w:w="2106" w:type="dxa"/>
            <w:vAlign w:val="center"/>
            <w:textDirection w:val="lrTb"/>
            <w:noWrap w:val="false"/>
          </w:tcPr>
          <w:p>
            <w:pPr>
              <w:pStyle w:val="1094"/>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470" w:type="dxa"/>
            <w:vAlign w:val="center"/>
            <w:textDirection w:val="lrTb"/>
            <w:noWrap w:val="false"/>
          </w:tcPr>
          <w:p>
            <w:pPr>
              <w:pStyle w:val="1094"/>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包</w:t>
            </w:r>
            <w:r>
              <w:rPr>
                <w:rFonts w:hint="eastAsia" w:ascii="宋体" w:hAnsi="宋体" w:eastAsia="宋体" w:cs="宋体"/>
                <w:bCs/>
                <w:color w:val="000000"/>
                <w:sz w:val="24"/>
                <w:szCs w:val="24"/>
                <w:highlight w:val="none"/>
              </w:rPr>
              <w:t xml:space="preserve">预算金额（万元）</w:t>
            </w:r>
            <w:r>
              <w:rPr>
                <w:rFonts w:hint="eastAsia" w:ascii="宋体" w:hAnsi="宋体" w:eastAsia="宋体" w:cs="宋体"/>
                <w:bCs/>
                <w:color w:val="000000"/>
                <w:sz w:val="24"/>
                <w:szCs w:val="24"/>
                <w:highlight w:val="none"/>
              </w:rPr>
            </w:r>
            <w:r/>
          </w:p>
        </w:tc>
        <w:tc>
          <w:tcPr>
            <w:tcW w:w="1155" w:type="dxa"/>
            <w:vAlign w:val="center"/>
            <w:textDirection w:val="lrTb"/>
            <w:noWrap w:val="false"/>
          </w:tcPr>
          <w:p>
            <w:pPr>
              <w:pStyle w:val="1094"/>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4090" w:type="dxa"/>
            <w:vAlign w:val="center"/>
            <w:textDirection w:val="lrTb"/>
            <w:noWrap w:val="false"/>
          </w:tcPr>
          <w:p>
            <w:pPr>
              <w:pStyle w:val="1094"/>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简要技术需求或服务要求</w:t>
            </w:r>
            <w:r>
              <w:rPr>
                <w:rFonts w:hint="eastAsia" w:ascii="宋体" w:hAnsi="宋体" w:eastAsia="宋体" w:cs="宋体"/>
                <w:color w:val="000000"/>
                <w:sz w:val="24"/>
                <w:szCs w:val="24"/>
                <w:highlight w:val="none"/>
              </w:rPr>
            </w:r>
            <w:r/>
          </w:p>
        </w:tc>
      </w:tr>
      <w:tr>
        <w:trPr>
          <w:trHeight w:val="434"/>
        </w:trPr>
        <w:tc>
          <w:tcPr>
            <w:tcW w:w="467"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01</w:t>
            </w:r>
            <w:r>
              <w:rPr>
                <w:rFonts w:ascii="宋体" w:hAnsi="宋体" w:eastAsia="宋体" w:cs="宋体"/>
                <w:bCs/>
                <w:color w:val="000000"/>
                <w:sz w:val="24"/>
                <w:szCs w:val="24"/>
                <w:highlight w:val="none"/>
                <w:lang w:val="en-US" w:eastAsia="zh-CN"/>
              </w:rPr>
            </w:r>
            <w:r/>
          </w:p>
        </w:tc>
        <w:tc>
          <w:tcPr>
            <w:tcW w:w="2106" w:type="dxa"/>
            <w:vAlign w:val="center"/>
            <w:textDirection w:val="lrTb"/>
            <w:noWrap w:val="false"/>
          </w:tcPr>
          <w:p>
            <w:pPr>
              <w:pStyle w:val="1094"/>
              <w:jc w:val="both"/>
              <w:keepLines w:val="0"/>
              <w:keepNext w:val="0"/>
              <w:pageBreakBefore w:val="0"/>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天宁区水质自动监测站维保服务</w:t>
            </w:r>
            <w:r>
              <w:rPr>
                <w:rFonts w:ascii="宋体" w:hAnsi="宋体" w:eastAsia="宋体" w:cs="宋体"/>
                <w:color w:val="000000"/>
                <w:sz w:val="24"/>
                <w:szCs w:val="24"/>
                <w:highlight w:val="none"/>
                <w:lang w:val="en-US" w:eastAsia="zh-CN"/>
              </w:rPr>
            </w:r>
            <w:r/>
          </w:p>
        </w:tc>
        <w:tc>
          <w:tcPr>
            <w:tcW w:w="1470"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38</w:t>
            </w:r>
            <w:r>
              <w:rPr>
                <w:rFonts w:ascii="宋体" w:hAnsi="宋体" w:eastAsia="宋体" w:cs="宋体"/>
                <w:bCs/>
                <w:color w:val="000000"/>
                <w:sz w:val="24"/>
                <w:szCs w:val="24"/>
                <w:highlight w:val="none"/>
                <w:lang w:val="en-US" w:eastAsia="zh-CN"/>
              </w:rPr>
            </w:r>
            <w:r/>
          </w:p>
        </w:tc>
        <w:tc>
          <w:tcPr>
            <w:tcW w:w="1155" w:type="dxa"/>
            <w:vAlign w:val="center"/>
            <w:textDirection w:val="lrTb"/>
            <w:noWrap w:val="false"/>
          </w:tcPr>
          <w:p>
            <w:pPr>
              <w:pStyle w:val="1094"/>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090" w:type="dxa"/>
            <w:vAlign w:val="center"/>
            <w:textDirection w:val="lrTb"/>
            <w:noWrap w:val="false"/>
          </w:tcPr>
          <w:p>
            <w:pPr>
              <w:pStyle w:val="1094"/>
              <w:jc w:val="both"/>
              <w:keepLines w:val="0"/>
              <w:keepNext w:val="0"/>
              <w:pageBreakBefore w:val="0"/>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服务内容包含</w:t>
            </w:r>
            <w:r>
              <w:rPr>
                <w:rFonts w:hint="eastAsia" w:ascii="宋体" w:hAnsi="宋体" w:eastAsia="宋体" w:cs="宋体"/>
                <w:color w:val="000000"/>
                <w:sz w:val="24"/>
                <w:szCs w:val="24"/>
                <w:highlight w:val="none"/>
                <w:lang w:eastAsia="zh-CN"/>
              </w:rPr>
              <w:t xml:space="preserve">日常运行维护、数据审核、仪器设备的故障诊断及维修、维保期间自动站监测设备的水、电、空调、通讯（电信光纤或无线）维修费用，监测数据的质控、审核、分析、预警、评估等，对三个站点进行全托管维保服务。维护维修和费用均</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成交供应商提供。</w:t>
            </w:r>
            <w:r>
              <w:rPr>
                <w:rFonts w:hint="eastAsia" w:ascii="宋体" w:hAnsi="宋体" w:eastAsia="宋体" w:cs="宋体"/>
                <w:color w:val="000000"/>
                <w:sz w:val="24"/>
                <w:szCs w:val="24"/>
                <w:highlight w:val="none"/>
                <w:lang w:eastAsia="zh-CN"/>
              </w:rPr>
            </w:r>
            <w:r/>
          </w:p>
        </w:tc>
      </w:tr>
      <w:tr>
        <w:trPr>
          <w:trHeight w:val="434"/>
        </w:trPr>
        <w:tc>
          <w:tcPr>
            <w:tcW w:w="467"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02</w:t>
            </w:r>
            <w:r>
              <w:rPr>
                <w:rFonts w:ascii="宋体" w:hAnsi="宋体" w:eastAsia="宋体" w:cs="宋体"/>
                <w:bCs/>
                <w:color w:val="000000"/>
                <w:sz w:val="24"/>
                <w:szCs w:val="24"/>
                <w:highlight w:val="none"/>
                <w:lang w:val="en-US" w:eastAsia="zh-CN"/>
              </w:rPr>
            </w:r>
            <w:r/>
          </w:p>
        </w:tc>
        <w:tc>
          <w:tcPr>
            <w:tcW w:w="2106" w:type="dxa"/>
            <w:vAlign w:val="center"/>
            <w:textDirection w:val="lrTb"/>
            <w:noWrap w:val="false"/>
          </w:tcPr>
          <w:p>
            <w:pPr>
              <w:pStyle w:val="1094"/>
              <w:jc w:val="both"/>
              <w:keepLines w:val="0"/>
              <w:keepNext w:val="0"/>
              <w:pageBreakBefore w:val="0"/>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天宁区乡镇空气站监测设备维保</w:t>
            </w:r>
            <w:r>
              <w:rPr>
                <w:rFonts w:ascii="宋体" w:hAnsi="宋体" w:eastAsia="宋体" w:cs="宋体"/>
                <w:color w:val="000000"/>
                <w:sz w:val="24"/>
                <w:szCs w:val="24"/>
                <w:highlight w:val="none"/>
                <w:lang w:val="en-US" w:eastAsia="zh-CN"/>
              </w:rPr>
            </w:r>
            <w:r/>
          </w:p>
        </w:tc>
        <w:tc>
          <w:tcPr>
            <w:tcW w:w="1470"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75</w:t>
            </w:r>
            <w:r>
              <w:rPr>
                <w:rFonts w:ascii="宋体" w:hAnsi="宋体" w:eastAsia="宋体" w:cs="宋体"/>
                <w:bCs/>
                <w:color w:val="000000"/>
                <w:sz w:val="24"/>
                <w:szCs w:val="24"/>
                <w:highlight w:val="none"/>
                <w:lang w:val="en-US" w:eastAsia="zh-CN"/>
              </w:rPr>
            </w:r>
            <w:r/>
          </w:p>
        </w:tc>
        <w:tc>
          <w:tcPr>
            <w:tcW w:w="1155" w:type="dxa"/>
            <w:vAlign w:val="center"/>
            <w:textDirection w:val="lrTb"/>
            <w:noWrap w:val="false"/>
          </w:tcPr>
          <w:p>
            <w:pPr>
              <w:pStyle w:val="1094"/>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4090" w:type="dxa"/>
            <w:vAlign w:val="center"/>
            <w:textDirection w:val="lrTb"/>
            <w:noWrap w:val="false"/>
          </w:tcPr>
          <w:p>
            <w:pPr>
              <w:pStyle w:val="1094"/>
              <w:jc w:val="both"/>
              <w:keepLines w:val="0"/>
              <w:keepNext w:val="0"/>
              <w:pageBreakBefore w:val="0"/>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服务内容包含</w:t>
            </w:r>
            <w:r>
              <w:rPr>
                <w:rFonts w:hint="eastAsia" w:ascii="宋体" w:hAnsi="宋体" w:eastAsia="宋体" w:cs="宋体"/>
                <w:color w:val="000000"/>
                <w:sz w:val="24"/>
                <w:szCs w:val="24"/>
                <w:highlight w:val="none"/>
                <w:lang w:eastAsia="zh-CN"/>
              </w:rPr>
              <w:t xml:space="preserve">为天宁区7个乡镇空气自动监测站监测设备维保，内容包括：耗材、备件、标气、仪器、辅助设备的维修、备机的提供及维保期间自动站监测设备的水、电、空调、通讯（电信光纤或无线）维修费用、监测设备的保养、监测数据的质控、审核。维护维修和费用均</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成交供应商提供。</w:t>
            </w:r>
            <w:r>
              <w:rPr>
                <w:rFonts w:hint="eastAsia" w:ascii="宋体" w:hAnsi="宋体" w:eastAsia="宋体" w:cs="宋体"/>
                <w:color w:val="000000"/>
                <w:sz w:val="24"/>
                <w:szCs w:val="24"/>
                <w:highlight w:val="none"/>
                <w:lang w:eastAsia="zh-CN"/>
              </w:rPr>
            </w:r>
            <w:r/>
          </w:p>
        </w:tc>
      </w:tr>
    </w:tbl>
    <w:p>
      <w:pPr>
        <w:pStyle w:val="117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共分2个采购包，供应商可对本次采购的单个采购包或全部采购包进行响应，只能成交一个采购包。响应某一采购包时，必须响应该采购包的全部内容，并在磋商响应文件中注明采购包号。评审顺序依次从包01至包02，在前一采购包作为成交第一候选人的供应商在后续采购包无成交资格。</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自合同签订之日起1年。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8" w:name="_Toc28359003"/>
      <w:r/>
      <w:bookmarkStart w:id="9" w:name="_Toc35393622"/>
      <w:r/>
      <w:bookmarkStart w:id="10" w:name="_Toc35393791"/>
      <w:r/>
      <w:bookmarkStart w:id="11" w:name="_Toc28359080"/>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04"/>
      <w:r/>
      <w:bookmarkStart w:id="13" w:name="_Toc28359081"/>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1094"/>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1094"/>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1094"/>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宋体" w:hAnsi="宋体" w:eastAsia="宋体" w:cs="宋体"/>
          <w:color w:val="000000"/>
          <w:sz w:val="24"/>
          <w:szCs w:val="24"/>
          <w:highlight w:val="none"/>
          <w:u w:val="single"/>
          <w:lang w:val="en-US"/>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ascii="宋体" w:hAnsi="宋体" w:eastAsia="宋体" w:cs="宋体"/>
          <w:color w:val="000000"/>
          <w:sz w:val="24"/>
          <w:szCs w:val="24"/>
          <w:highlight w:val="none"/>
          <w:u w:val="single"/>
          <w:lang w:val="en-US"/>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Times New Roman"/>
          <w:b/>
          <w:bCs/>
          <w:color w:val="000000"/>
          <w:sz w:val="24"/>
          <w:szCs w:val="24"/>
          <w:highlight w:val="none"/>
        </w:rPr>
        <w:t xml:space="preserve">三、获取采购文件</w:t>
      </w:r>
      <w:bookmarkEnd w:id="14"/>
      <w:r/>
      <w:bookmarkEnd w:id="15"/>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bookmarkStart w:id="16" w:name="_Toc35393627"/>
      <w:r/>
      <w:bookmarkStart w:id="17" w:name="_Toc28359085"/>
      <w:r/>
      <w:bookmarkStart w:id="18" w:name="_Toc28359008"/>
      <w:r/>
      <w:bookmarkStart w:id="19" w:name="_Toc35393796"/>
      <w:r>
        <w:rPr>
          <w:rFonts w:hint="eastAsia" w:ascii="宋体" w:hAnsi="宋体" w:eastAsia="宋体" w:cs="宋体"/>
          <w:color w:val="000000"/>
          <w:sz w:val="24"/>
          <w:highlight w:val="none"/>
          <w:lang w:bidi="ar"/>
        </w:rPr>
        <w:t xml:space="preserve">1.时间：</w:t>
      </w:r>
      <w:r>
        <w:rPr>
          <w:rFonts w:hint="eastAsia" w:ascii="宋体" w:hAnsi="宋体" w:eastAsia="宋体" w:cs="宋体"/>
          <w:color w:val="000000"/>
          <w:sz w:val="24"/>
          <w:highlight w:val="none"/>
          <w:u w:val="none"/>
        </w:rPr>
        <w:t xml:space="preserve">自磋商</w:t>
      </w:r>
      <w:r>
        <w:rPr>
          <w:rFonts w:hint="eastAsia" w:ascii="宋体" w:hAnsi="宋体" w:eastAsia="宋体" w:cs="宋体"/>
          <w:color w:val="000000"/>
          <w:sz w:val="24"/>
          <w:highlight w:val="none"/>
          <w:u w:val="none"/>
          <w:lang w:val="en-US" w:eastAsia="zh-CN"/>
        </w:rPr>
        <w:t xml:space="preserve">文</w:t>
      </w:r>
      <w:r>
        <w:rPr>
          <w:rFonts w:hint="eastAsia" w:ascii="宋体" w:hAnsi="宋体" w:eastAsia="宋体" w:cs="宋体"/>
          <w:color w:val="000000"/>
          <w:sz w:val="24"/>
          <w:highlight w:val="none"/>
          <w:u w:val="none"/>
        </w:rPr>
        <w:t xml:space="preserve">件公告发布之日起5个工作日</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94"/>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rPr>
        <w:t xml:space="preserve">“苏采云”政府采购一体化平台。</w:t>
      </w:r>
      <w:r>
        <w:rPr>
          <w:rFonts w:hint="eastAsia" w:ascii="宋体" w:hAnsi="宋体" w:eastAsia="宋体" w:cs="宋体"/>
          <w:color w:val="000000"/>
          <w:sz w:val="24"/>
          <w:highlight w:val="none"/>
          <w:lang w:eastAsia="zh-CN" w:bidi="ar"/>
        </w:rPr>
      </w:r>
      <w:r/>
    </w:p>
    <w:p>
      <w:pPr>
        <w:pStyle w:val="1094"/>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3.方式：</w:t>
      </w:r>
      <w:r>
        <w:rPr>
          <w:rFonts w:hint="eastAsia" w:ascii="宋体" w:hAnsi="宋体" w:eastAsia="宋体" w:cs="宋体"/>
          <w:color w:val="000000"/>
          <w:sz w:val="24"/>
          <w:szCs w:val="24"/>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1094"/>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bidi="ar"/>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0" w:name="_Toc35393793"/>
      <w:r/>
      <w:bookmarkStart w:id="21" w:name="_Toc35393624"/>
      <w:r/>
      <w:bookmarkStart w:id="22" w:name="_Toc28359005"/>
      <w:r/>
      <w:bookmarkStart w:id="23" w:name="_Toc28359082"/>
      <w:r>
        <w:rPr>
          <w:rFonts w:hint="eastAsia" w:ascii="宋体" w:hAnsi="宋体" w:eastAsia="宋体" w:cs="Times New Roman"/>
          <w:b/>
          <w:bCs/>
          <w:color w:val="000000"/>
          <w:sz w:val="24"/>
          <w:szCs w:val="24"/>
          <w:highlight w:val="none"/>
        </w:rPr>
        <w:t xml:space="preserve">四、</w:t>
      </w:r>
      <w:bookmarkEnd w:id="20"/>
      <w:r/>
      <w:bookmarkEnd w:id="21"/>
      <w:r/>
      <w:bookmarkEnd w:id="22"/>
      <w:r/>
      <w:bookmarkEnd w:id="23"/>
      <w:r>
        <w:rPr>
          <w:rFonts w:hint="eastAsia" w:ascii="宋体" w:hAnsi="宋体" w:eastAsia="宋体" w:cs="Times New Roman"/>
          <w:b/>
          <w:bCs/>
          <w:color w:val="000000"/>
          <w:sz w:val="24"/>
          <w:szCs w:val="24"/>
          <w:highlight w:val="none"/>
        </w:rPr>
        <w:t xml:space="preserve">响应文件提交</w:t>
      </w:r>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截止时间：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2025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17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00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094"/>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本项目采用远程“不见面”交易方式，无需到现场提交，请供应商在</w:t>
      </w:r>
      <w:r>
        <w:rPr>
          <w:rFonts w:hint="eastAsia" w:ascii="宋体" w:hAnsi="宋体"/>
          <w:color w:val="000000"/>
          <w:sz w:val="24"/>
          <w:highlight w:val="none"/>
          <w:u w:val="single"/>
          <w:lang w:val="en-US" w:eastAsia="zh-CN"/>
        </w:rPr>
        <w:t xml:space="preserve">提交</w:t>
      </w:r>
      <w:r>
        <w:rPr>
          <w:rFonts w:hint="eastAsia" w:ascii="宋体" w:hAnsi="宋体"/>
          <w:color w:val="000000"/>
          <w:sz w:val="24"/>
          <w:highlight w:val="none"/>
          <w:u w:val="single"/>
          <w:lang w:eastAsia="zh-CN"/>
        </w:rPr>
        <w:t xml:space="preserve">时间截止前提前登入“苏采云”，通过系统在线提交电子磋商响应文件。</w:t>
      </w:r>
      <w:r>
        <w:rPr>
          <w:rFonts w:hint="eastAsia" w:ascii="宋体" w:hAnsi="宋体" w:eastAsia="宋体" w:cs="宋体"/>
          <w:color w:val="000000"/>
          <w:sz w:val="24"/>
          <w:highlight w:val="none"/>
          <w:lang w:bidi="ar"/>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五、开启</w:t>
      </w:r>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2025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17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00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1094"/>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bookmarkStart w:id="24" w:name="_Toc35393794"/>
      <w:r/>
      <w:bookmarkStart w:id="25" w:name="_Toc28359084"/>
      <w:r/>
      <w:bookmarkStart w:id="26" w:name="_Toc28359007"/>
      <w:r/>
      <w:bookmarkStart w:id="27" w:name="_Toc35393625"/>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szCs w:val="24"/>
          <w:highlight w:val="none"/>
        </w:rPr>
        <w:t xml:space="preserve">“苏采云”政府采购</w:t>
      </w:r>
      <w:r>
        <w:rPr>
          <w:rFonts w:hint="eastAsia" w:ascii="宋体" w:hAnsi="宋体" w:eastAsia="宋体" w:cs="宋体"/>
          <w:color w:val="000000"/>
          <w:sz w:val="24"/>
          <w:szCs w:val="24"/>
          <w:highlight w:val="none"/>
          <w:lang w:val="en-US" w:eastAsia="zh-CN"/>
        </w:rPr>
        <w:t xml:space="preserve">交易系统网上开标大厅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bidi="ar"/>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六、公告期限</w:t>
      </w:r>
      <w:bookmarkEnd w:id="24"/>
      <w:r/>
      <w:bookmarkEnd w:id="25"/>
      <w:r/>
      <w:bookmarkEnd w:id="26"/>
      <w:r/>
      <w:bookmarkEnd w:id="27"/>
      <w:r>
        <w:rPr>
          <w:rFonts w:hint="eastAsia" w:ascii="宋体" w:hAnsi="宋体" w:eastAsia="宋体" w:cs="Times New Roman"/>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自本公告发布之日起3个工作日。</w:t>
      </w:r>
      <w:r>
        <w:rPr>
          <w:rFonts w:hint="eastAsia" w:ascii="宋体" w:hAnsi="宋体" w:eastAsia="宋体" w:cs="宋体"/>
          <w:color w:val="000000"/>
          <w:sz w:val="24"/>
          <w:highlight w:val="none"/>
          <w:lang w:bidi="ar"/>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8" w:name="_Toc35393626"/>
      <w:r/>
      <w:bookmarkStart w:id="29" w:name="_Toc35393795"/>
      <w:r>
        <w:rPr>
          <w:rFonts w:hint="eastAsia" w:ascii="宋体" w:hAnsi="宋体" w:eastAsia="宋体" w:cs="Times New Roman"/>
          <w:b/>
          <w:bCs/>
          <w:color w:val="000000"/>
          <w:sz w:val="24"/>
          <w:szCs w:val="24"/>
          <w:highlight w:val="none"/>
        </w:rPr>
        <w:t xml:space="preserve">七、其他补充事宜</w:t>
      </w:r>
      <w:bookmarkEnd w:id="28"/>
      <w:r/>
      <w:bookmarkEnd w:id="29"/>
      <w:r>
        <w:rPr>
          <w:rFonts w:hint="eastAsia" w:ascii="宋体" w:hAnsi="宋体" w:eastAsia="宋体" w:cs="Times New Roman"/>
          <w:b/>
          <w:bCs/>
          <w:color w:val="000000"/>
          <w:sz w:val="24"/>
          <w:szCs w:val="24"/>
          <w:highlight w:val="none"/>
        </w:rPr>
      </w:r>
      <w:r/>
    </w:p>
    <w:p>
      <w:pPr>
        <w:pStyle w:val="109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4.有关本次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6.注意事项</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1094"/>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eastAsia="宋体" w:cs="宋体"/>
          <w:color w:val="000000"/>
          <w:sz w:val="24"/>
          <w:highlight w:val="none"/>
          <w:lang w:val="en-US" w:eastAsia="zh-CN"/>
        </w:rPr>
      </w:r>
      <w:r/>
    </w:p>
    <w:p>
      <w:pPr>
        <w:pStyle w:val="1094"/>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eastAsia="宋体" w:cs="宋体"/>
          <w:color w:val="000000"/>
          <w:sz w:val="24"/>
          <w:highlight w:val="none"/>
          <w:lang w:val="en-US" w:eastAsia="zh-CN"/>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9.如潜在供应商未按上述要求操作，将自行承担所产生的风险。</w:t>
      </w:r>
      <w:r>
        <w:rPr>
          <w:rFonts w:hint="eastAsia" w:ascii="宋体" w:hAnsi="宋体" w:eastAsia="宋体" w:cs="宋体"/>
          <w:color w:val="000000"/>
          <w:sz w:val="24"/>
          <w:highlight w:val="none"/>
          <w:lang w:val="en-US" w:eastAsia="zh-CN"/>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11.关于深入开展常州市政府采购线上合同信用融资：</w:t>
      </w:r>
      <w:r>
        <w:rPr>
          <w:rFonts w:hint="eastAsia" w:ascii="宋体" w:hAnsi="宋体" w:eastAsia="宋体" w:cs="宋体"/>
          <w:color w:val="000000"/>
          <w:sz w:val="24"/>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 w:val="24"/>
          <w:highlight w:val="none"/>
          <w:lang w:val="en-US" w:eastAsia="zh-CN"/>
        </w:rPr>
      </w:r>
      <w:r/>
    </w:p>
    <w:p>
      <w:pPr>
        <w:pStyle w:val="1094"/>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八、对本项目提出询问，请按以下方式联系。</w:t>
      </w:r>
      <w:bookmarkEnd w:id="16"/>
      <w:r/>
      <w:bookmarkEnd w:id="17"/>
      <w:r/>
      <w:bookmarkEnd w:id="18"/>
      <w:r/>
      <w:bookmarkEnd w:id="19"/>
      <w:r>
        <w:rPr>
          <w:rFonts w:hint="eastAsia" w:ascii="宋体" w:hAnsi="宋体" w:eastAsia="宋体" w:cs="Times New Roman"/>
          <w:b/>
          <w:bCs/>
          <w:color w:val="000000"/>
          <w:sz w:val="24"/>
          <w:szCs w:val="24"/>
          <w:highlight w:val="none"/>
        </w:rPr>
      </w:r>
      <w:r/>
    </w:p>
    <w:p>
      <w:pPr>
        <w:pStyle w:val="1094"/>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常州市天宁生态环境局 </w:t>
      </w:r>
      <w:r>
        <w:rPr>
          <w:rFonts w:hint="eastAsia" w:ascii="宋体" w:hAnsi="宋体" w:eastAsia="宋体" w:cs="宋体"/>
          <w:color w:val="000000"/>
          <w:sz w:val="24"/>
          <w:highlight w:val="none"/>
          <w:lang w:val="zh-TW" w:bidi="ar"/>
        </w:rPr>
      </w:r>
      <w:r/>
    </w:p>
    <w:p>
      <w:pPr>
        <w:pStyle w:val="1094"/>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cs="宋体"/>
          <w:color w:val="000000"/>
          <w:sz w:val="24"/>
          <w:highlight w:val="none"/>
          <w:u w:val="single"/>
          <w:lang w:val="zh-TW" w:bidi="ar"/>
        </w:rPr>
        <w:t xml:space="preserve">常州市竹林北路256号</w:t>
      </w:r>
      <w:r>
        <w:rPr>
          <w:rFonts w:hint="eastAsia" w:ascii="宋体" w:hAnsi="宋体" w:eastAsia="宋体" w:cs="宋体"/>
          <w:color w:val="000000"/>
          <w:sz w:val="24"/>
          <w:highlight w:val="none"/>
          <w:u w:val="single"/>
          <w:lang w:val="en-US" w:eastAsia="zh-CN" w:bidi="ar"/>
        </w:rPr>
        <w:t xml:space="preserve"> </w:t>
      </w:r>
      <w:r>
        <w:rPr>
          <w:rFonts w:ascii="宋体" w:hAnsi="宋体" w:eastAsia="宋体" w:cs="宋体"/>
          <w:color w:val="000000"/>
          <w:sz w:val="24"/>
          <w:highlight w:val="none"/>
          <w:u w:val="single"/>
          <w:lang w:val="en-US" w:eastAsia="zh-CN"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潘女士、0519-69661752 </w:t>
      </w:r>
      <w:r>
        <w:rPr>
          <w:rFonts w:hint="eastAsia" w:ascii="宋体" w:hAnsi="宋体" w:eastAsia="宋体" w:cs="宋体"/>
          <w:color w:val="000000"/>
          <w:sz w:val="24"/>
          <w:highlight w:val="none"/>
          <w:lang w:val="zh-TW" w:bidi="ar"/>
        </w:rPr>
      </w:r>
      <w:r/>
    </w:p>
    <w:p>
      <w:pPr>
        <w:pStyle w:val="1094"/>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1094"/>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王涛 </w:t>
      </w:r>
      <w:r>
        <w:rPr>
          <w:rFonts w:hint="eastAsia" w:ascii="宋体" w:hAnsi="宋体" w:eastAsia="宋体" w:cs="宋体"/>
          <w:color w:val="000000"/>
          <w:sz w:val="24"/>
          <w:highlight w:val="none"/>
          <w:lang w:val="zh-TW" w:bidi="ar"/>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eastAsia="zh-CN" w:bidi="ar"/>
        </w:rPr>
        <w:t xml:space="preserve">0519-88818292（8000）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1125"/>
        <w:rPr>
          <w:rFonts w:hint="eastAsia"/>
          <w:color w:val="000000"/>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color w:val="000000"/>
          <w:highlight w:val="none"/>
        </w:rPr>
      </w:r>
      <w:r/>
    </w:p>
    <w:p>
      <w:pPr>
        <w:pStyle w:val="1094"/>
        <w:jc w:val="center"/>
        <w:keepLines w:val="0"/>
        <w:keepNext w:val="0"/>
        <w:pageBreakBefore w:val="0"/>
        <w:spacing w:line="360" w:lineRule="auto"/>
        <w:rPr>
          <w:b/>
          <w:color w:val="000000"/>
          <w:sz w:val="36"/>
          <w:szCs w:val="36"/>
          <w:highlight w:val="none"/>
        </w:rPr>
        <w:outlineLvl w:val="0"/>
      </w:pPr>
      <w:r/>
      <w:bookmarkStart w:id="30" w:name="_Toc305158928"/>
      <w:r/>
      <w:bookmarkStart w:id="31" w:name="_Toc5724"/>
      <w:r/>
      <w:bookmarkStart w:id="32" w:name="_Toc104818926"/>
      <w:r/>
      <w:bookmarkStart w:id="33" w:name="_Toc226965856"/>
      <w:r/>
      <w:bookmarkStart w:id="34" w:name="_Toc305158854"/>
      <w:r/>
      <w:bookmarkStart w:id="35" w:name="_Toc195842950"/>
      <w:r/>
      <w:bookmarkStart w:id="36" w:name="_Toc265228423"/>
      <w:r/>
      <w:bookmarkStart w:id="37" w:name="_Toc353825548"/>
      <w:r/>
      <w:bookmarkStart w:id="38" w:name="_Toc264969275"/>
      <w:r/>
      <w:bookmarkStart w:id="39" w:name="_Toc150774783"/>
      <w:r/>
      <w:bookmarkStart w:id="40" w:name="_Toc512937850"/>
      <w:r/>
      <w:bookmarkStart w:id="41" w:name="_Toc127161488"/>
      <w:r/>
      <w:bookmarkStart w:id="42" w:name="_Toc127151777"/>
      <w:r/>
      <w:bookmarkStart w:id="43" w:name="_Toc353873938"/>
      <w:r>
        <w:rPr>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64229360"/>
      <w:r/>
      <w:bookmarkStart w:id="45" w:name="_Toc226965792"/>
      <w:r/>
      <w:bookmarkStart w:id="46" w:name="_Toc142311021"/>
      <w:r/>
      <w:bookmarkStart w:id="47" w:name="_Toc151193907"/>
      <w:r/>
      <w:bookmarkStart w:id="48" w:name="_Toc151193761"/>
      <w:r/>
      <w:bookmarkStart w:id="49" w:name="_Toc164608633"/>
      <w:r/>
      <w:bookmarkStart w:id="50" w:name="_Toc150774724"/>
      <w:r/>
      <w:bookmarkStart w:id="51" w:name="_Toc164351613"/>
      <w:r/>
      <w:bookmarkStart w:id="52" w:name="_Toc164608788"/>
      <w:r/>
      <w:bookmarkStart w:id="53" w:name="_Toc151190146"/>
      <w:r/>
      <w:bookmarkStart w:id="54" w:name="_Toc127151519"/>
      <w:r/>
      <w:bookmarkStart w:id="55" w:name="_Toc151193833"/>
      <w:r/>
      <w:bookmarkStart w:id="56" w:name="_Toc127161433"/>
      <w:r/>
      <w:bookmarkStart w:id="57" w:name="_Toc164229214"/>
      <w:r/>
      <w:bookmarkStart w:id="58" w:name="_Toc151193617"/>
      <w:r/>
      <w:bookmarkStart w:id="59" w:name="_Toc149720812"/>
      <w:r/>
      <w:bookmarkStart w:id="60" w:name="_Toc151193689"/>
      <w:r/>
      <w:bookmarkStart w:id="61" w:name="_Toc226337215"/>
      <w:r/>
      <w:bookmarkStart w:id="62" w:name="_Toc520356144"/>
      <w:r/>
      <w:bookmarkStart w:id="63" w:name="_Toc226965709"/>
      <w:r/>
      <w:bookmarkStart w:id="64" w:name="_Toc127151720"/>
      <w:r/>
      <w:bookmarkStart w:id="65" w:name="_Toc150480757"/>
      <w:r/>
      <w:bookmarkStart w:id="66" w:name="_Toc150509270"/>
      <w:r/>
      <w:bookmarkStart w:id="67" w:name="_Toc226309763"/>
      <w:r/>
      <w:bookmarkStart w:id="68" w:name="_Toc150774619"/>
      <w:r/>
      <w:bookmarkStart w:id="69" w:name="_Toc195842884"/>
      <w:r>
        <w:rPr>
          <w:rFonts w:hint="eastAsia" w:ascii="宋体" w:hAnsi="宋体" w:eastAsia="宋体" w:cs="Times New Roman"/>
          <w:b/>
          <w:bCs/>
          <w:color w:val="000000"/>
          <w:sz w:val="28"/>
          <w:szCs w:val="28"/>
          <w:highlight w:val="none"/>
          <w:lang w:val="en-US" w:eastAsia="zh-CN"/>
        </w:rPr>
        <w:t xml:space="preserve">供应商须知资料表</w:t>
      </w:r>
      <w:r>
        <w:rPr>
          <w:rFonts w:hint="eastAsia" w:ascii="宋体" w:hAnsi="宋体" w:eastAsia="宋体" w:cs="Times New Roman"/>
          <w:b/>
          <w:bCs/>
          <w:color w:val="000000"/>
          <w:sz w:val="28"/>
          <w:szCs w:val="28"/>
          <w:highlight w:val="none"/>
          <w:lang w:val="en-US" w:eastAsia="zh-CN"/>
        </w:rPr>
      </w:r>
      <w:r/>
    </w:p>
    <w:p>
      <w:pPr>
        <w:pStyle w:val="1094"/>
        <w:jc w:val="center"/>
        <w:rPr>
          <w:b/>
          <w:color w:val="000000"/>
          <w:sz w:val="28"/>
          <w:szCs w:val="28"/>
          <w:highlight w:val="none"/>
        </w:rPr>
        <w:outlineLvl w:val="9"/>
      </w:pPr>
      <w:r>
        <w:rPr>
          <w:b/>
          <w:color w:val="000000"/>
          <w:sz w:val="28"/>
          <w:szCs w:val="28"/>
          <w:highlight w:val="none"/>
        </w:rPr>
      </w:r>
      <w:r/>
    </w:p>
    <w:p>
      <w:pPr>
        <w:pStyle w:val="1094"/>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eastAsia="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94"/>
              <w:jc w:val="center"/>
              <w:rPr>
                <w:rFonts w:hint="eastAsia" w:ascii="宋体" w:hAnsi="宋体" w:eastAsia="宋体" w:cs="宋体"/>
                <w:b/>
                <w:bCs/>
                <w:color w:val="000000"/>
                <w:sz w:val="24"/>
                <w:szCs w:val="24"/>
                <w:highlight w:val="none"/>
              </w:rPr>
              <w:outlineLvl w:val="9"/>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253" w:type="dxa"/>
            <w:vAlign w:val="center"/>
            <w:textDirection w:val="lrTb"/>
            <w:noWrap w:val="false"/>
          </w:tcPr>
          <w:p>
            <w:pPr>
              <w:pStyle w:val="1094"/>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sz w:val="24"/>
                <w:szCs w:val="24"/>
                <w:highlight w:val="none"/>
                <w:u w:val="single"/>
              </w:rPr>
            </w:r>
            <w:r/>
          </w:p>
        </w:tc>
      </w:tr>
      <w:tr>
        <w:trPr>
          <w:trHeight w:val="20"/>
        </w:trPr>
        <w:tc>
          <w:tcPr>
            <w:tcW w:w="988" w:type="dxa"/>
            <w:vAlign w:val="center"/>
            <w:vMerge w:val="restart"/>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1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55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其他未列明行业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r>
        <w:trPr>
          <w:trHeight w:val="89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自提交响应文件的截止之日起算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color w:val="000000"/>
                <w:sz w:val="24"/>
                <w:szCs w:val="24"/>
                <w:highlight w:val="none"/>
                <w:u w:val="single"/>
                <w:lang w:val="en-US" w:eastAsia="zh-CN"/>
              </w:rPr>
              <w:t xml:space="preserve"> 于2025年11月 10日11:00（北京时间）前以书面形式递交至江苏尚阳工程管理有限公司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王涛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0519-88818292（8000）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137"/>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094"/>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收费比例按差额定率分档累进法计算，收费差额费率：成交金额在100万元(含)以下的为1.5%，成交金额在100万元（不含）至500万元（含）的为0.8%，成交服务收费按上述计算方法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成交供应商应在领取成交通知书时将成交服务费付至采购代理机构的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1094"/>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1094"/>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rPr>
            </w:r>
            <w:r/>
          </w:p>
        </w:tc>
      </w:tr>
    </w:tbl>
    <w:p>
      <w:pPr>
        <w:pStyle w:val="1094"/>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供应商须知</w:t>
      </w:r>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0" w:name="_Toc151193760"/>
      <w:r/>
      <w:bookmarkStart w:id="71" w:name="_Toc127151518"/>
      <w:r/>
      <w:bookmarkStart w:id="72" w:name="_Toc226965708"/>
      <w:r/>
      <w:bookmarkStart w:id="73" w:name="_Toc305158860"/>
      <w:r/>
      <w:bookmarkStart w:id="74" w:name="_Toc520356143"/>
      <w:r/>
      <w:bookmarkStart w:id="75" w:name="_Toc226337214"/>
      <w:r/>
      <w:bookmarkStart w:id="76" w:name="_Toc150774723"/>
      <w:r/>
      <w:bookmarkStart w:id="77" w:name="_Toc195842883"/>
      <w:r/>
      <w:bookmarkStart w:id="78" w:name="_Toc265228356"/>
      <w:r/>
      <w:bookmarkStart w:id="79" w:name="_Toc151193616"/>
      <w:r/>
      <w:bookmarkStart w:id="80" w:name="_Toc226965791"/>
      <w:r/>
      <w:bookmarkStart w:id="81" w:name="_Toc151193688"/>
      <w:r/>
      <w:bookmarkStart w:id="82" w:name="_Toc142311020"/>
      <w:r/>
      <w:bookmarkStart w:id="83" w:name="_Toc264969208"/>
      <w:r/>
      <w:bookmarkStart w:id="84" w:name="_Toc150480756"/>
      <w:r/>
      <w:bookmarkStart w:id="85" w:name="_Toc305158786"/>
      <w:r/>
      <w:bookmarkStart w:id="86" w:name="_Toc226309762"/>
      <w:r/>
      <w:bookmarkStart w:id="87" w:name="_Toc151193832"/>
      <w:r/>
      <w:bookmarkStart w:id="88" w:name="_Toc150774618"/>
      <w:r/>
      <w:bookmarkStart w:id="89" w:name="_Toc151190145"/>
      <w:r/>
      <w:bookmarkStart w:id="90" w:name="_Toc150509269"/>
      <w:r/>
      <w:bookmarkStart w:id="91" w:name="_Toc151193906"/>
      <w:r>
        <w:rPr>
          <w:rFonts w:hint="eastAsia" w:ascii="宋体" w:hAnsi="宋体" w:eastAsia="宋体" w:cs="Times New Roman"/>
          <w:b/>
          <w:bCs/>
          <w:color w:val="000000"/>
          <w:sz w:val="28"/>
          <w:szCs w:val="28"/>
          <w:highlight w:val="none"/>
          <w:lang w:val="en-US" w:eastAsia="zh-CN"/>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2" w:name="_Toc305158787"/>
      <w:r/>
      <w:bookmarkStart w:id="93" w:name="_Toc264969209"/>
      <w:r/>
      <w:bookmarkStart w:id="94" w:name="_Toc305158861"/>
      <w:r/>
      <w:bookmarkStart w:id="95" w:name="_Toc265228357"/>
      <w:r>
        <w:rPr>
          <w:rFonts w:hint="eastAsia" w:ascii="宋体" w:hAnsi="宋体" w:eastAsia="宋体" w:cs="宋体"/>
          <w:color w:val="000000"/>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6" w:name="_Toc149720813"/>
      <w:r/>
      <w:bookmarkStart w:id="97" w:name="_Toc150509271"/>
      <w:r/>
      <w:bookmarkStart w:id="98" w:name="_Toc151193690"/>
      <w:r/>
      <w:bookmarkStart w:id="99" w:name="_Toc151193908"/>
      <w:r/>
      <w:bookmarkStart w:id="100" w:name="_Toc150774620"/>
      <w:r/>
      <w:bookmarkStart w:id="101" w:name="_Toc265228358"/>
      <w:r/>
      <w:bookmarkStart w:id="102" w:name="_Toc164351614"/>
      <w:r/>
      <w:bookmarkStart w:id="103" w:name="_Toc127151721"/>
      <w:r/>
      <w:bookmarkStart w:id="104" w:name="_Toc127151520"/>
      <w:r/>
      <w:bookmarkStart w:id="105" w:name="_Toc164608634"/>
      <w:r/>
      <w:bookmarkStart w:id="106" w:name="_Toc226965793"/>
      <w:r/>
      <w:bookmarkStart w:id="107" w:name="_Toc164608789"/>
      <w:r/>
      <w:bookmarkStart w:id="108" w:name="_Toc164229215"/>
      <w:r/>
      <w:bookmarkStart w:id="109" w:name="_Toc264969210"/>
      <w:r/>
      <w:bookmarkStart w:id="110" w:name="_Toc151193762"/>
      <w:r/>
      <w:bookmarkStart w:id="111" w:name="_Toc164229361"/>
      <w:r/>
      <w:bookmarkStart w:id="112" w:name="_Toc151193834"/>
      <w:r/>
      <w:bookmarkStart w:id="113" w:name="_Toc142311022"/>
      <w:r/>
      <w:bookmarkStart w:id="114" w:name="_Toc150480758"/>
      <w:r/>
      <w:bookmarkStart w:id="115" w:name="_Toc305158788"/>
      <w:r/>
      <w:bookmarkStart w:id="116" w:name="_Toc226309764"/>
      <w:r/>
      <w:bookmarkStart w:id="117" w:name="_Toc151193618"/>
      <w:r/>
      <w:bookmarkStart w:id="118" w:name="_Toc226965710"/>
      <w:r/>
      <w:bookmarkStart w:id="119" w:name="_Toc127161434"/>
      <w:r/>
      <w:bookmarkStart w:id="120" w:name="_Toc305158862"/>
      <w:r/>
      <w:bookmarkStart w:id="121" w:name="_Toc150774725"/>
      <w:r/>
      <w:bookmarkStart w:id="122" w:name="_Toc226337216"/>
      <w:r/>
      <w:bookmarkStart w:id="123" w:name="_Toc151190147"/>
      <w:r/>
      <w:bookmarkStart w:id="124" w:name="_Toc195842885"/>
      <w:r>
        <w:rPr>
          <w:rFonts w:hint="eastAsia" w:ascii="宋体" w:hAnsi="宋体" w:eastAsia="宋体" w:cs="宋体"/>
          <w:color w:val="000000"/>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现场考察、磋商前答疑会</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25" w:name="_Toc520356146"/>
      <w:r/>
      <w:bookmarkStart w:id="126" w:name="_Toc151190149"/>
      <w:r/>
      <w:bookmarkStart w:id="127" w:name="_Toc195842887"/>
      <w:r/>
      <w:bookmarkStart w:id="128" w:name="_Toc151193764"/>
      <w:r/>
      <w:bookmarkStart w:id="129" w:name="_Toc264969212"/>
      <w:r/>
      <w:bookmarkStart w:id="130" w:name="_Toc226337218"/>
      <w:r/>
      <w:bookmarkStart w:id="131" w:name="_Toc151193692"/>
      <w:r/>
      <w:bookmarkStart w:id="132" w:name="_Toc226309766"/>
      <w:r/>
      <w:bookmarkStart w:id="133" w:name="_Toc151193910"/>
      <w:r/>
      <w:bookmarkStart w:id="134" w:name="_Toc151193620"/>
      <w:r/>
      <w:bookmarkStart w:id="135" w:name="_Toc265228360"/>
      <w:r/>
      <w:bookmarkStart w:id="136" w:name="_Toc150774622"/>
      <w:r/>
      <w:bookmarkStart w:id="137" w:name="_Toc226965795"/>
      <w:r/>
      <w:bookmarkStart w:id="138" w:name="_Toc150509273"/>
      <w:r/>
      <w:bookmarkStart w:id="139" w:name="_Toc226965712"/>
      <w:r/>
      <w:bookmarkStart w:id="140" w:name="_Toc305158790"/>
      <w:r/>
      <w:bookmarkStart w:id="141" w:name="_Toc150774727"/>
      <w:r/>
      <w:bookmarkStart w:id="142" w:name="_Toc151193836"/>
      <w:r/>
      <w:bookmarkStart w:id="143" w:name="_Toc127151522"/>
      <w:r/>
      <w:bookmarkStart w:id="144" w:name="_Toc142311024"/>
      <w:r/>
      <w:bookmarkStart w:id="145" w:name="_Toc305158864"/>
      <w:r/>
      <w:bookmarkStart w:id="146" w:name="_Toc150480760"/>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213"/>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094"/>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94"/>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94"/>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213"/>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213"/>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94"/>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1094"/>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1094"/>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1094"/>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1094"/>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响应费用</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47" w:name="_1.8_计量单位"/>
      <w:r/>
      <w:bookmarkEnd w:id="147"/>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148" w:name="_Toc150480761"/>
      <w:r/>
      <w:bookmarkStart w:id="149" w:name="_Toc226309767"/>
      <w:r/>
      <w:bookmarkStart w:id="150" w:name="_Toc151193765"/>
      <w:r/>
      <w:bookmarkStart w:id="151" w:name="_Toc150774728"/>
      <w:r/>
      <w:bookmarkStart w:id="152" w:name="_Toc127151724"/>
      <w:r/>
      <w:bookmarkStart w:id="153" w:name="_Toc195842888"/>
      <w:r/>
      <w:bookmarkStart w:id="154" w:name="_Toc226965713"/>
      <w:r/>
      <w:bookmarkStart w:id="155" w:name="_Toc151190150"/>
      <w:r/>
      <w:bookmarkStart w:id="156" w:name="_Toc164351617"/>
      <w:r/>
      <w:bookmarkStart w:id="157" w:name="_Toc127161437"/>
      <w:r/>
      <w:bookmarkStart w:id="158" w:name="_Toc164229364"/>
      <w:r/>
      <w:bookmarkStart w:id="159" w:name="_Toc265228361"/>
      <w:r/>
      <w:bookmarkStart w:id="160" w:name="_Toc151193911"/>
      <w:r/>
      <w:bookmarkStart w:id="161" w:name="_Toc520356147"/>
      <w:r/>
      <w:bookmarkStart w:id="162" w:name="_Toc264969213"/>
      <w:r/>
      <w:bookmarkStart w:id="163" w:name="_Toc151193693"/>
      <w:r/>
      <w:bookmarkStart w:id="164" w:name="_Toc164608792"/>
      <w:r/>
      <w:bookmarkStart w:id="165" w:name="_Toc142311025"/>
      <w:r/>
      <w:bookmarkStart w:id="166" w:name="_Toc305158865"/>
      <w:r/>
      <w:bookmarkStart w:id="167" w:name="_Toc149720816"/>
      <w:r/>
      <w:bookmarkStart w:id="168" w:name="_Toc127151523"/>
      <w:r/>
      <w:bookmarkStart w:id="169" w:name="_Toc150509274"/>
      <w:r/>
      <w:bookmarkStart w:id="170" w:name="_Toc226965796"/>
      <w:r/>
      <w:bookmarkStart w:id="171" w:name="_Toc305158791"/>
      <w:r/>
      <w:bookmarkStart w:id="172" w:name="_Toc151193837"/>
      <w:r/>
      <w:bookmarkStart w:id="173" w:name="_Toc164608637"/>
      <w:r/>
      <w:bookmarkStart w:id="174" w:name="_Toc164229218"/>
      <w:r/>
      <w:bookmarkStart w:id="175" w:name="_Toc226337219"/>
      <w:r/>
      <w:bookmarkStart w:id="176" w:name="_Toc150774623"/>
      <w:r/>
      <w:bookmarkStart w:id="177" w:name="_Toc151193621"/>
      <w:r>
        <w:rPr>
          <w:rFonts w:hint="eastAsia" w:ascii="宋体" w:hAnsi="宋体" w:eastAsia="宋体" w:cs="宋体"/>
          <w:color w:val="000000"/>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094"/>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对竞争性磋商文件的澄清或修改</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78" w:name="_Toc226337222"/>
      <w:r/>
      <w:bookmarkStart w:id="179" w:name="_Toc265228364"/>
      <w:r/>
      <w:bookmarkStart w:id="180" w:name="_Toc520356150"/>
      <w:r/>
      <w:bookmarkStart w:id="181" w:name="_Toc264969216"/>
      <w:r/>
      <w:bookmarkStart w:id="182" w:name="_Toc305158868"/>
      <w:r/>
      <w:bookmarkStart w:id="183" w:name="_Toc305158794"/>
      <w:r/>
      <w:bookmarkStart w:id="184" w:name="_Toc151193768"/>
      <w:r/>
      <w:bookmarkStart w:id="185" w:name="_Toc151190153"/>
      <w:r/>
      <w:bookmarkStart w:id="186" w:name="_Toc150774731"/>
      <w:r/>
      <w:bookmarkStart w:id="187" w:name="_Toc142311028"/>
      <w:r/>
      <w:bookmarkStart w:id="188" w:name="_Toc226965799"/>
      <w:r/>
      <w:bookmarkStart w:id="189" w:name="_Toc151193624"/>
      <w:r/>
      <w:bookmarkStart w:id="190" w:name="_Toc150509277"/>
      <w:r/>
      <w:bookmarkStart w:id="191" w:name="_Toc150480764"/>
      <w:r/>
      <w:bookmarkStart w:id="192" w:name="_Toc195842891"/>
      <w:r/>
      <w:bookmarkStart w:id="193" w:name="_Toc150774626"/>
      <w:r/>
      <w:bookmarkStart w:id="194" w:name="_Toc127151526"/>
      <w:r/>
      <w:bookmarkStart w:id="195" w:name="_Toc151193840"/>
      <w:r/>
      <w:bookmarkStart w:id="196" w:name="_Toc226965716"/>
      <w:r/>
      <w:bookmarkStart w:id="197" w:name="_Toc151193914"/>
      <w:r/>
      <w:bookmarkStart w:id="198" w:name="_Toc516367020"/>
      <w:r/>
      <w:bookmarkStart w:id="199" w:name="_Toc151193696"/>
      <w:r/>
      <w:bookmarkStart w:id="200" w:name="_Toc226309770"/>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响应文件</w:t>
      </w:r>
      <w:bookmarkEnd w:id="198"/>
      <w:r>
        <w:rPr>
          <w:rFonts w:hint="eastAsia" w:ascii="宋体" w:hAnsi="宋体" w:eastAsia="宋体" w:cs="Times New Roman"/>
          <w:b/>
          <w:bCs/>
          <w:color w:val="000000"/>
          <w:sz w:val="28"/>
          <w:szCs w:val="28"/>
          <w:highlight w:val="none"/>
          <w:lang w:val="en-US" w:eastAsia="zh-CN"/>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9"/>
      <w:r/>
      <w:bookmarkEnd w:id="200"/>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01" w:name="_Toc127151527"/>
      <w:r/>
      <w:bookmarkStart w:id="202" w:name="_Toc150774732"/>
      <w:r/>
      <w:bookmarkStart w:id="203" w:name="_Toc151193697"/>
      <w:r/>
      <w:bookmarkStart w:id="204" w:name="_Toc150509278"/>
      <w:r/>
      <w:bookmarkStart w:id="205" w:name="_Toc226965800"/>
      <w:r/>
      <w:bookmarkStart w:id="206" w:name="_Toc264969217"/>
      <w:r/>
      <w:bookmarkStart w:id="207" w:name="_Toc265228365"/>
      <w:r/>
      <w:bookmarkStart w:id="208" w:name="_Toc305158869"/>
      <w:r/>
      <w:bookmarkStart w:id="209" w:name="_Toc226337223"/>
      <w:r/>
      <w:bookmarkStart w:id="210" w:name="_Toc150774627"/>
      <w:r/>
      <w:bookmarkStart w:id="211" w:name="_Toc151193769"/>
      <w:r/>
      <w:bookmarkStart w:id="212" w:name="_Toc226965717"/>
      <w:r/>
      <w:bookmarkStart w:id="213" w:name="_Toc151193841"/>
      <w:r/>
      <w:bookmarkStart w:id="214" w:name="_Toc150480765"/>
      <w:r/>
      <w:bookmarkStart w:id="215" w:name="_Toc195842892"/>
      <w:r/>
      <w:bookmarkStart w:id="216" w:name="_Toc305158795"/>
      <w:r/>
      <w:bookmarkStart w:id="217" w:name="_Toc164608796"/>
      <w:r/>
      <w:bookmarkStart w:id="218" w:name="_Toc151190154"/>
      <w:r/>
      <w:bookmarkStart w:id="219" w:name="_Toc516367021"/>
      <w:r/>
      <w:bookmarkStart w:id="220" w:name="_Toc127161441"/>
      <w:r/>
      <w:bookmarkStart w:id="221" w:name="_Toc127151728"/>
      <w:r/>
      <w:bookmarkStart w:id="222" w:name="_Toc151193915"/>
      <w:r/>
      <w:bookmarkStart w:id="223" w:name="_Toc164229368"/>
      <w:r/>
      <w:bookmarkStart w:id="224" w:name="_Toc520356151"/>
      <w:r/>
      <w:bookmarkStart w:id="225" w:name="_Toc151193625"/>
      <w:r/>
      <w:bookmarkStart w:id="226" w:name="_Toc142311029"/>
      <w:r/>
      <w:bookmarkStart w:id="227" w:name="_Toc164351621"/>
      <w:r/>
      <w:bookmarkStart w:id="228" w:name="_Toc164608641"/>
      <w:r/>
      <w:bookmarkStart w:id="229" w:name="_Toc149720820"/>
      <w:r/>
      <w:bookmarkStart w:id="230" w:name="_Toc164229222"/>
      <w:r/>
      <w:bookmarkStart w:id="231" w:name="_Toc226309771"/>
      <w:r>
        <w:rPr>
          <w:rFonts w:hint="eastAsia" w:ascii="宋体" w:hAnsi="宋体" w:eastAsia="宋体" w:cs="宋体"/>
          <w:color w:val="000000"/>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4"/>
          <w:highlight w:val="none"/>
        </w:rPr>
        <w:t xml:space="preserve">及磋商语言</w:t>
      </w:r>
      <w:r>
        <w:rPr>
          <w:rFonts w:hint="eastAsia" w:ascii="宋体" w:hAnsi="宋体" w:eastAsia="宋体" w:cs="宋体"/>
          <w:color w:val="000000"/>
          <w:sz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32" w:name="_Toc226965801"/>
      <w:r/>
      <w:bookmarkStart w:id="233" w:name="_Toc150480766"/>
      <w:r/>
      <w:bookmarkStart w:id="234" w:name="_Toc265228366"/>
      <w:r/>
      <w:bookmarkStart w:id="235" w:name="_Toc226309772"/>
      <w:r/>
      <w:bookmarkStart w:id="236" w:name="_Toc164351622"/>
      <w:r/>
      <w:bookmarkStart w:id="237" w:name="_Toc149720821"/>
      <w:r/>
      <w:bookmarkStart w:id="238" w:name="_Toc151193698"/>
      <w:r/>
      <w:bookmarkStart w:id="239" w:name="_Toc226965718"/>
      <w:r/>
      <w:bookmarkStart w:id="240" w:name="_Toc226337224"/>
      <w:r/>
      <w:bookmarkStart w:id="241" w:name="_Toc195842893"/>
      <w:r/>
      <w:bookmarkStart w:id="242" w:name="_Toc151193842"/>
      <w:r/>
      <w:bookmarkStart w:id="243" w:name="_Toc305158870"/>
      <w:r/>
      <w:bookmarkStart w:id="244" w:name="_Toc305158796"/>
      <w:r/>
      <w:bookmarkStart w:id="245" w:name="_Toc516367022"/>
      <w:r/>
      <w:bookmarkStart w:id="246" w:name="_Ref467306195"/>
      <w:r/>
      <w:bookmarkStart w:id="247" w:name="_Ref467306676"/>
      <w:r/>
      <w:bookmarkStart w:id="248" w:name="_Toc151190155"/>
      <w:r/>
      <w:bookmarkStart w:id="249" w:name="_Toc150774733"/>
      <w:r/>
      <w:bookmarkStart w:id="250" w:name="_Toc164229223"/>
      <w:r/>
      <w:bookmarkStart w:id="251" w:name="_Toc150774628"/>
      <w:r/>
      <w:bookmarkStart w:id="252" w:name="_Toc150509279"/>
      <w:r/>
      <w:bookmarkStart w:id="253" w:name="_Toc520356152"/>
      <w:r/>
      <w:bookmarkStart w:id="254" w:name="_Toc142311030"/>
      <w:r/>
      <w:bookmarkStart w:id="255" w:name="_Toc264969218"/>
      <w:r/>
      <w:bookmarkStart w:id="256" w:name="_Toc151193916"/>
      <w:r/>
      <w:bookmarkStart w:id="257" w:name="_Toc127161442"/>
      <w:r/>
      <w:bookmarkStart w:id="258" w:name="_Toc164608642"/>
      <w:r/>
      <w:bookmarkStart w:id="259" w:name="_Toc127151528"/>
      <w:r/>
      <w:bookmarkStart w:id="260" w:name="_Toc127151729"/>
      <w:r/>
      <w:bookmarkStart w:id="261" w:name="_Toc151193626"/>
      <w:r/>
      <w:bookmarkStart w:id="262" w:name="_Toc151193770"/>
      <w:r/>
      <w:bookmarkStart w:id="263" w:name="_Toc164229369"/>
      <w:r/>
      <w:bookmarkStart w:id="264" w:name="_Toc164608797"/>
      <w:r>
        <w:rPr>
          <w:rFonts w:hint="eastAsia" w:ascii="宋体" w:hAnsi="宋体" w:eastAsia="宋体" w:cs="宋体"/>
          <w:color w:val="000000"/>
          <w:sz w:val="24"/>
          <w:highlight w:val="none"/>
        </w:rPr>
        <w:t xml:space="preserve">响应文件</w:t>
      </w:r>
      <w:bookmarkEnd w:id="245"/>
      <w:r/>
      <w:bookmarkEnd w:id="246"/>
      <w:r/>
      <w:bookmarkEnd w:id="247"/>
      <w:r>
        <w:rPr>
          <w:rFonts w:hint="eastAsia" w:ascii="宋体" w:hAnsi="宋体" w:eastAsia="宋体" w:cs="宋体"/>
          <w:color w:val="000000"/>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65" w:name="_Ref467052588"/>
      <w:r>
        <w:rPr>
          <w:rFonts w:hint="eastAsia" w:ascii="宋体" w:hAnsi="宋体" w:eastAsia="宋体" w:cs="宋体"/>
          <w:color w:val="000000"/>
          <w:sz w:val="24"/>
          <w:highlight w:val="none"/>
        </w:rPr>
        <w:t xml:space="preserve">供应商应当按照竞争性磋商文件的要求编制响应文件，</w:t>
      </w:r>
      <w:r>
        <w:rPr>
          <w:rFonts w:hint="eastAsia" w:ascii="宋体" w:hAnsi="宋体" w:eastAsia="宋体" w:cs="宋体"/>
          <w:color w:val="000000"/>
          <w:sz w:val="24"/>
          <w:highlight w:val="none"/>
        </w:rPr>
        <w:t xml:space="preserve">并对其提交的响应文件的真实性、合法性承担法律责任</w:t>
      </w:r>
      <w:r>
        <w:rPr>
          <w:rFonts w:hint="eastAsia" w:ascii="宋体" w:hAnsi="宋体" w:eastAsia="宋体" w:cs="宋体"/>
          <w:color w:val="000000"/>
          <w:sz w:val="24"/>
          <w:highlight w:val="none"/>
        </w:rPr>
        <w:t xml:space="preserve">。响应文件的部分格式要求，见第六章《响应文件格式》。</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对于竞争性磋商文件中标记了“实质性格式”文件的，</w:t>
      </w:r>
      <w:r>
        <w:rPr>
          <w:rFonts w:hint="eastAsia" w:ascii="宋体" w:hAnsi="宋体" w:eastAsia="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highlight w:val="none"/>
        </w:rPr>
        <w:t xml:space="preserve">否则响应无效</w:t>
      </w:r>
      <w:r>
        <w:rPr>
          <w:rFonts w:hint="eastAsia" w:ascii="宋体" w:hAnsi="宋体" w:eastAsia="宋体" w:cs="宋体"/>
          <w:color w:val="000000"/>
          <w:sz w:val="24"/>
          <w:highlight w:val="none"/>
        </w:rPr>
        <w:t xml:space="preserve">。未标记“实质性格式”的文件和竞争性磋商文件未提供格式的内容，可由供应商自行编写。</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第三章《评审方法和评审标准》中涉及的证明文件。</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供应商认为应附的其他材料。</w:t>
      </w:r>
      <w:bookmarkEnd w:id="265"/>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66" w:name="_Toc127161444"/>
      <w:r/>
      <w:bookmarkStart w:id="267" w:name="_Toc164608644"/>
      <w:r/>
      <w:bookmarkStart w:id="268" w:name="_Toc127151530"/>
      <w:r/>
      <w:bookmarkStart w:id="269" w:name="_Toc164351624"/>
      <w:r/>
      <w:bookmarkStart w:id="270" w:name="_Toc142311032"/>
      <w:r/>
      <w:bookmarkStart w:id="271" w:name="_Toc150480768"/>
      <w:r/>
      <w:bookmarkStart w:id="272" w:name="_Toc150774735"/>
      <w:r/>
      <w:bookmarkStart w:id="273" w:name="_Toc151190157"/>
      <w:r/>
      <w:bookmarkStart w:id="274" w:name="_Toc150509281"/>
      <w:r/>
      <w:bookmarkStart w:id="275" w:name="_Toc149720823"/>
      <w:r/>
      <w:bookmarkStart w:id="276" w:name="_Toc151193628"/>
      <w:r/>
      <w:bookmarkStart w:id="277" w:name="_Toc150774630"/>
      <w:r/>
      <w:bookmarkStart w:id="278" w:name="_Toc151193918"/>
      <w:r/>
      <w:bookmarkStart w:id="279" w:name="_Toc127151731"/>
      <w:r/>
      <w:bookmarkStart w:id="280" w:name="_Toc164229225"/>
      <w:r/>
      <w:bookmarkStart w:id="281" w:name="_Toc520356155"/>
      <w:r/>
      <w:bookmarkStart w:id="282" w:name="_Toc195842895"/>
      <w:r/>
      <w:bookmarkStart w:id="283" w:name="_Toc151193772"/>
      <w:r/>
      <w:bookmarkStart w:id="284" w:name="_Toc151193844"/>
      <w:r/>
      <w:bookmarkStart w:id="285" w:name="_Toc164229371"/>
      <w:r/>
      <w:bookmarkStart w:id="286" w:name="_Toc164608799"/>
      <w:r/>
      <w:bookmarkStart w:id="287" w:name="_Toc151193700"/>
      <w:r>
        <w:rPr>
          <w:rFonts w:hint="eastAsia" w:ascii="宋体" w:hAnsi="宋体" w:eastAsia="宋体" w:cs="宋体"/>
          <w:color w:val="000000"/>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所有响应均以人民币报价。</w:t>
      </w:r>
      <w:r>
        <w:rPr>
          <w:rFonts w:hint="eastAsia" w:ascii="宋体" w:hAnsi="宋体" w:eastAsia="宋体" w:cs="宋体"/>
          <w:color w:val="000000"/>
          <w:sz w:val="24"/>
          <w:highlight w:val="none"/>
        </w:rPr>
      </w:r>
      <w:r/>
    </w:p>
    <w:p>
      <w:pPr>
        <w:pStyle w:val="1094"/>
        <w:numPr>
          <w:ilvl w:val="1"/>
          <w:numId w:val="8"/>
        </w:numPr>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按照竞争性磋商文件要求完成本项目的全部相关服务费用。</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供应商不能提供任何有选择性或可调整的最终报价（</w:t>
      </w:r>
      <w:r>
        <w:rPr>
          <w:rFonts w:hint="eastAsia" w:ascii="宋体" w:hAnsi="宋体" w:eastAsia="宋体" w:cs="宋体"/>
          <w:color w:val="000000"/>
          <w:sz w:val="24"/>
          <w:highlight w:val="none"/>
        </w:rPr>
        <w:t xml:space="preserve">竞争性磋商文件</w:t>
      </w:r>
      <w:r>
        <w:rPr>
          <w:rFonts w:hint="eastAsia" w:ascii="宋体" w:hAnsi="宋体" w:eastAsia="宋体" w:cs="宋体"/>
          <w:color w:val="000000"/>
          <w:sz w:val="24"/>
          <w:highlight w:val="none"/>
        </w:rPr>
        <w:t xml:space="preserve">另有规定的除外），否则其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磋商保证金</w:t>
      </w:r>
      <w:r>
        <w:rPr>
          <w:rFonts w:hint="eastAsia" w:ascii="宋体" w:hAnsi="宋体" w:eastAsia="宋体" w:cs="宋体"/>
          <w:color w:val="000000"/>
          <w:sz w:val="24"/>
          <w:highlight w:val="none"/>
        </w:rPr>
      </w:r>
      <w:r/>
    </w:p>
    <w:p>
      <w:pPr>
        <w:pStyle w:val="1094"/>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根据江苏省和常州市的相关文件规定，免收保证金。</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8" w:name="_Toc164229228"/>
      <w:r/>
      <w:bookmarkStart w:id="289" w:name="_Toc226337229"/>
      <w:r/>
      <w:bookmarkStart w:id="290" w:name="_Toc127151533"/>
      <w:r/>
      <w:bookmarkStart w:id="291" w:name="_Toc164351627"/>
      <w:r/>
      <w:bookmarkStart w:id="292" w:name="_Toc226965806"/>
      <w:r/>
      <w:bookmarkStart w:id="293" w:name="_Toc142311035"/>
      <w:r/>
      <w:bookmarkStart w:id="294" w:name="_Toc520356158"/>
      <w:r/>
      <w:bookmarkStart w:id="295" w:name="_Toc151193703"/>
      <w:r/>
      <w:bookmarkStart w:id="296" w:name="_Toc150480771"/>
      <w:r/>
      <w:bookmarkStart w:id="297" w:name="_Toc164229374"/>
      <w:r/>
      <w:bookmarkStart w:id="298" w:name="_Toc164608647"/>
      <w:r/>
      <w:bookmarkStart w:id="299" w:name="_Toc150509284"/>
      <w:r/>
      <w:bookmarkStart w:id="300" w:name="_Toc151193921"/>
      <w:r/>
      <w:bookmarkStart w:id="301" w:name="_Toc127161447"/>
      <w:r/>
      <w:bookmarkStart w:id="302" w:name="_Toc164608802"/>
      <w:r/>
      <w:bookmarkStart w:id="303" w:name="_Toc151193847"/>
      <w:r/>
      <w:bookmarkStart w:id="304" w:name="_Toc226965723"/>
      <w:r/>
      <w:bookmarkStart w:id="305" w:name="_Toc305158875"/>
      <w:r/>
      <w:bookmarkStart w:id="306" w:name="_Toc305158801"/>
      <w:r/>
      <w:bookmarkStart w:id="307" w:name="_Toc151193775"/>
      <w:r/>
      <w:bookmarkStart w:id="308" w:name="_Toc150774738"/>
      <w:r/>
      <w:bookmarkStart w:id="309" w:name="_Toc195842898"/>
      <w:r/>
      <w:bookmarkStart w:id="310" w:name="_Toc151190160"/>
      <w:r/>
      <w:bookmarkStart w:id="311" w:name="_Toc265228371"/>
      <w:r/>
      <w:bookmarkStart w:id="312" w:name="_Toc127151734"/>
      <w:r/>
      <w:bookmarkStart w:id="313" w:name="_Toc226309777"/>
      <w:r/>
      <w:bookmarkStart w:id="314" w:name="_Toc149720826"/>
      <w:r/>
      <w:bookmarkStart w:id="315" w:name="_Toc264969223"/>
      <w:r/>
      <w:bookmarkStart w:id="316" w:name="_Toc150774633"/>
      <w:r/>
      <w:bookmarkStart w:id="317" w:name="_Toc151193631"/>
      <w:r>
        <w:rPr>
          <w:rFonts w:hint="eastAsia" w:ascii="宋体" w:hAnsi="宋体" w:eastAsia="宋体" w:cs="宋体"/>
          <w:color w:val="000000"/>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竞争性磋商文件要求盖章的内容，一般通过</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编制工具加盖电子签章。</w:t>
      </w:r>
      <w:r>
        <w:rPr>
          <w:rFonts w:hint="eastAsia" w:ascii="宋体" w:hAnsi="宋体" w:eastAsia="宋体" w:cs="宋体"/>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18" w:name="_Toc150774634"/>
      <w:r/>
      <w:bookmarkStart w:id="319" w:name="_Toc226309778"/>
      <w:r/>
      <w:bookmarkStart w:id="320" w:name="_Toc226337230"/>
      <w:r/>
      <w:bookmarkStart w:id="321" w:name="_Toc127151534"/>
      <w:r/>
      <w:bookmarkStart w:id="322" w:name="_Toc151193922"/>
      <w:r/>
      <w:bookmarkStart w:id="323" w:name="_Toc150509285"/>
      <w:r/>
      <w:bookmarkStart w:id="324" w:name="_Toc151193776"/>
      <w:r/>
      <w:bookmarkStart w:id="325" w:name="_Toc150480772"/>
      <w:r/>
      <w:bookmarkStart w:id="326" w:name="_Toc151193848"/>
      <w:r/>
      <w:bookmarkStart w:id="327" w:name="_Toc151193704"/>
      <w:r/>
      <w:bookmarkStart w:id="328" w:name="_Toc264969224"/>
      <w:r/>
      <w:bookmarkStart w:id="329" w:name="_Toc226965807"/>
      <w:r/>
      <w:bookmarkStart w:id="330" w:name="_Toc265228372"/>
      <w:r/>
      <w:bookmarkStart w:id="331" w:name="_Toc151190161"/>
      <w:r/>
      <w:bookmarkStart w:id="332" w:name="_Toc305158802"/>
      <w:r/>
      <w:bookmarkStart w:id="333" w:name="_Toc520356159"/>
      <w:r/>
      <w:bookmarkStart w:id="334" w:name="_Toc226965724"/>
      <w:r/>
      <w:bookmarkStart w:id="335" w:name="_Toc305158876"/>
      <w:r/>
      <w:bookmarkStart w:id="336" w:name="_Toc150774739"/>
      <w:r/>
      <w:bookmarkStart w:id="337" w:name="_Toc195842899"/>
      <w:r/>
      <w:bookmarkStart w:id="338" w:name="_Toc142311036"/>
      <w:r/>
      <w:bookmarkStart w:id="339" w:name="_Toc151193632"/>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40" w:name="_Toc127161449"/>
      <w:r/>
      <w:bookmarkStart w:id="341" w:name="_Toc150774740"/>
      <w:r/>
      <w:bookmarkStart w:id="342" w:name="_Toc226965725"/>
      <w:r/>
      <w:bookmarkStart w:id="343" w:name="_Toc151193849"/>
      <w:r/>
      <w:bookmarkStart w:id="344" w:name="_Toc520356160"/>
      <w:r/>
      <w:bookmarkStart w:id="345" w:name="_Toc226309779"/>
      <w:r/>
      <w:bookmarkStart w:id="346" w:name="_Toc150774635"/>
      <w:r/>
      <w:bookmarkStart w:id="347" w:name="_Toc305158803"/>
      <w:r/>
      <w:bookmarkStart w:id="348" w:name="_Toc195842900"/>
      <w:r/>
      <w:bookmarkStart w:id="349" w:name="_Toc149720828"/>
      <w:r/>
      <w:bookmarkStart w:id="350" w:name="_Toc305158877"/>
      <w:r/>
      <w:bookmarkStart w:id="351" w:name="_Toc142311037"/>
      <w:r/>
      <w:bookmarkStart w:id="352" w:name="_Toc164351629"/>
      <w:r/>
      <w:bookmarkStart w:id="353" w:name="_Toc164229230"/>
      <w:r/>
      <w:bookmarkStart w:id="354" w:name="_Toc150509286"/>
      <w:r/>
      <w:bookmarkStart w:id="355" w:name="_Toc164229376"/>
      <w:r/>
      <w:bookmarkStart w:id="356" w:name="_Toc164608649"/>
      <w:r/>
      <w:bookmarkStart w:id="357" w:name="_Toc127151535"/>
      <w:r/>
      <w:bookmarkStart w:id="358" w:name="_Toc151190162"/>
      <w:r/>
      <w:bookmarkStart w:id="359" w:name="_Toc151193777"/>
      <w:r/>
      <w:bookmarkStart w:id="360" w:name="_Toc265228373"/>
      <w:r/>
      <w:bookmarkStart w:id="361" w:name="_Toc151193923"/>
      <w:r/>
      <w:bookmarkStart w:id="362" w:name="_Toc164608804"/>
      <w:r/>
      <w:bookmarkStart w:id="363" w:name="_Toc264969225"/>
      <w:r/>
      <w:bookmarkStart w:id="364" w:name="_Toc127151736"/>
      <w:r/>
      <w:bookmarkStart w:id="365" w:name="_Toc150480773"/>
      <w:r/>
      <w:bookmarkStart w:id="366" w:name="_Toc226965808"/>
      <w:r/>
      <w:bookmarkStart w:id="367" w:name="_Toc151193633"/>
      <w:r/>
      <w:bookmarkStart w:id="368" w:name="_Toc226337231"/>
      <w:r/>
      <w:bookmarkStart w:id="369" w:name="_Toc151193705"/>
      <w:r>
        <w:rPr>
          <w:rFonts w:hint="eastAsia" w:ascii="宋体" w:hAnsi="宋体" w:eastAsia="宋体" w:cs="宋体"/>
          <w:color w:val="000000"/>
          <w:sz w:val="24"/>
          <w:highlight w:val="none"/>
        </w:rPr>
        <w:t xml:space="preserve">响应文件的提交</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本项目使用</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。供应商根据竞争性磋商文件及</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供应商操作手册要求编制、生成并提交电子响应文件。</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采购人及采购代理机构拒绝接受通过电子交易平台以外任何形式提交的响应文件。</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响应文件截止时间</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供应商应在竞争性磋商文件要求提交响应文件截止时间前，将电子响应文件提交至</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响应文件的修改与撤回</w:t>
      </w:r>
      <w:r>
        <w:rPr>
          <w:rFonts w:hint="eastAsia" w:ascii="宋体" w:hAnsi="宋体" w:eastAsia="宋体" w:cs="宋体"/>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70" w:name="_Toc150480776"/>
      <w:r/>
      <w:bookmarkStart w:id="371" w:name="_Toc142311040"/>
      <w:r/>
      <w:bookmarkStart w:id="372" w:name="_Toc264969228"/>
      <w:r/>
      <w:bookmarkStart w:id="373" w:name="_Toc265228376"/>
      <w:r/>
      <w:bookmarkStart w:id="374" w:name="_Toc127151538"/>
      <w:r/>
      <w:bookmarkStart w:id="375" w:name="_Toc151193926"/>
      <w:r/>
      <w:bookmarkStart w:id="376" w:name="_Toc150774743"/>
      <w:r/>
      <w:bookmarkStart w:id="377" w:name="_Toc195842903"/>
      <w:r/>
      <w:bookmarkStart w:id="378" w:name="_Toc151193852"/>
      <w:r/>
      <w:bookmarkStart w:id="379" w:name="_Toc150774638"/>
      <w:r/>
      <w:bookmarkStart w:id="380" w:name="_Toc305158806"/>
      <w:r/>
      <w:bookmarkStart w:id="381" w:name="_Toc226965811"/>
      <w:r/>
      <w:bookmarkStart w:id="382" w:name="_Toc520356163"/>
      <w:r/>
      <w:bookmarkStart w:id="383" w:name="_Toc226309782"/>
      <w:r/>
      <w:bookmarkStart w:id="384" w:name="_Toc150509289"/>
      <w:r/>
      <w:bookmarkStart w:id="385" w:name="_Toc151193636"/>
      <w:r/>
      <w:bookmarkStart w:id="386" w:name="_Toc151193708"/>
      <w:r/>
      <w:bookmarkStart w:id="387" w:name="_Toc151190165"/>
      <w:r/>
      <w:bookmarkStart w:id="388" w:name="_Toc226965728"/>
      <w:r/>
      <w:bookmarkStart w:id="389" w:name="_Toc151193780"/>
      <w:r/>
      <w:bookmarkStart w:id="390" w:name="_Toc305158880"/>
      <w:r/>
      <w:bookmarkStart w:id="391" w:name="_Toc226337234"/>
      <w:r>
        <w:rPr>
          <w:rFonts w:hint="eastAsia" w:ascii="宋体" w:hAnsi="宋体" w:eastAsia="宋体" w:cs="Times New Roman"/>
          <w:b/>
          <w:bCs/>
          <w:color w:val="000000"/>
          <w:sz w:val="28"/>
          <w:szCs w:val="28"/>
          <w:highlight w:val="none"/>
          <w:lang w:val="en-US" w:eastAsia="zh-CN"/>
        </w:rPr>
        <w:t xml:space="preserve">五   </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Times New Roman"/>
          <w:b/>
          <w:bCs/>
          <w:color w:val="000000"/>
          <w:sz w:val="28"/>
          <w:szCs w:val="28"/>
          <w:highlight w:val="none"/>
          <w:lang w:val="en-US" w:eastAsia="zh-CN"/>
        </w:rPr>
        <w:t xml:space="preserve">评审</w:t>
      </w:r>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9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393" w:name="_Toc520356165"/>
      <w:r>
        <w:rPr>
          <w:color w:val="000000"/>
          <w:sz w:val="24"/>
          <w:highlight w:val="none"/>
        </w:rPr>
        <w:t xml:space="preserve">本项目不公开报价。</w:t>
      </w:r>
      <w:r>
        <w:rPr>
          <w:rFonts w:hint="eastAsia"/>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94"/>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94"/>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94"/>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94"/>
        <w:numPr>
          <w:ilvl w:val="0"/>
          <w:numId w:val="8"/>
        </w:numPr>
        <w:ind w:left="357" w:hanging="357"/>
        <w:spacing w:line="360" w:lineRule="auto"/>
        <w:tabs>
          <w:tab w:val="left" w:pos="360" w:leader="none"/>
          <w:tab w:val="left" w:pos="900" w:leader="none"/>
        </w:tabs>
        <w:rPr>
          <w:color w:val="000000"/>
          <w:sz w:val="24"/>
          <w:highlight w:val="none"/>
        </w:rPr>
        <w:outlineLvl w:val="1"/>
      </w:pPr>
      <w:r/>
      <w:bookmarkEnd w:id="393"/>
      <w:r>
        <w:rPr>
          <w:color w:val="000000"/>
          <w:sz w:val="24"/>
          <w:highlight w:val="none"/>
        </w:rPr>
        <w:t xml:space="preserve">磋商小组</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394" w:name="_Toc520356166"/>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394"/>
      <w:r>
        <w:rPr>
          <w:color w:val="000000"/>
          <w:sz w:val="24"/>
          <w:highlight w:val="none"/>
        </w:rPr>
      </w:r>
      <w:r/>
    </w:p>
    <w:p>
      <w:pPr>
        <w:pStyle w:val="1094"/>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94"/>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95" w:name="_Toc226309789"/>
      <w:r/>
      <w:bookmarkStart w:id="396" w:name="_Toc195842910"/>
      <w:r/>
      <w:bookmarkStart w:id="397" w:name="_Toc265228383"/>
      <w:r/>
      <w:bookmarkStart w:id="398" w:name="_Toc151190172"/>
      <w:r/>
      <w:bookmarkStart w:id="399" w:name="_Toc150509296"/>
      <w:r/>
      <w:bookmarkStart w:id="400" w:name="_Toc151193859"/>
      <w:r/>
      <w:bookmarkStart w:id="401" w:name="_Toc226965818"/>
      <w:r/>
      <w:bookmarkStart w:id="402" w:name="_Toc151193933"/>
      <w:r/>
      <w:bookmarkStart w:id="403" w:name="_Toc150774750"/>
      <w:r/>
      <w:bookmarkStart w:id="404" w:name="_Toc226337241"/>
      <w:r/>
      <w:bookmarkStart w:id="405" w:name="_Toc127151545"/>
      <w:r/>
      <w:bookmarkStart w:id="406" w:name="_Toc305158887"/>
      <w:r/>
      <w:bookmarkStart w:id="407" w:name="_Toc142311047"/>
      <w:r/>
      <w:bookmarkStart w:id="408" w:name="_Toc150774645"/>
      <w:r/>
      <w:bookmarkStart w:id="409" w:name="_Toc151193715"/>
      <w:r/>
      <w:bookmarkStart w:id="410" w:name="_Toc226965735"/>
      <w:r/>
      <w:bookmarkStart w:id="411" w:name="_Toc264969235"/>
      <w:r/>
      <w:bookmarkStart w:id="412" w:name="_Toc305158813"/>
      <w:r/>
      <w:bookmarkStart w:id="413" w:name="_Toc151193643"/>
      <w:r/>
      <w:bookmarkStart w:id="414" w:name="_Toc151193787"/>
      <w:r/>
      <w:bookmarkStart w:id="415" w:name="_Toc150480783"/>
      <w:r>
        <w:rPr>
          <w:rFonts w:hint="eastAsia" w:ascii="宋体" w:hAnsi="宋体" w:eastAsia="宋体" w:cs="Times New Roman"/>
          <w:b/>
          <w:bCs/>
          <w:color w:val="000000"/>
          <w:sz w:val="28"/>
          <w:szCs w:val="28"/>
          <w:highlight w:val="none"/>
          <w:lang w:val="en-US" w:eastAsia="zh-CN"/>
        </w:rPr>
        <w:t xml:space="preserve">六   </w:t>
      </w:r>
      <w:bookmarkEnd w:id="392"/>
      <w:r>
        <w:rPr>
          <w:rFonts w:hint="eastAsia" w:ascii="宋体" w:hAnsi="宋体" w:eastAsia="宋体" w:cs="Times New Roman"/>
          <w:b/>
          <w:bCs/>
          <w:color w:val="000000"/>
          <w:sz w:val="28"/>
          <w:szCs w:val="28"/>
          <w:highlight w:val="none"/>
          <w:lang w:val="en-US" w:eastAsia="zh-CN"/>
        </w:rPr>
        <w:t xml:space="preserve">确定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Times New Roman"/>
          <w:b/>
          <w:bCs/>
          <w:color w:val="000000"/>
          <w:sz w:val="28"/>
          <w:szCs w:val="28"/>
          <w:highlight w:val="none"/>
          <w:lang w:val="en-US" w:eastAsia="zh-CN"/>
        </w:rPr>
        <w:t xml:space="preserve">成交</w:t>
      </w:r>
      <w:r>
        <w:rPr>
          <w:rFonts w:hint="eastAsia" w:ascii="宋体" w:hAnsi="宋体" w:eastAsia="宋体" w:cs="Times New Roman"/>
          <w:b/>
          <w:bCs/>
          <w:color w:val="000000"/>
          <w:sz w:val="28"/>
          <w:szCs w:val="28"/>
          <w:highlight w:val="none"/>
          <w:lang w:val="en-US" w:eastAsia="zh-CN"/>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16" w:name="_Toc164229388"/>
      <w:r/>
      <w:bookmarkStart w:id="417" w:name="_Toc142311049"/>
      <w:r/>
      <w:bookmarkStart w:id="418" w:name="_Toc226965737"/>
      <w:r/>
      <w:bookmarkStart w:id="419" w:name="_Toc151193861"/>
      <w:r/>
      <w:bookmarkStart w:id="420" w:name="_Toc151193935"/>
      <w:r/>
      <w:bookmarkStart w:id="421" w:name="_Toc151193717"/>
      <w:r/>
      <w:bookmarkStart w:id="422" w:name="_Toc127151748"/>
      <w:r/>
      <w:bookmarkStart w:id="423" w:name="_Toc127151547"/>
      <w:r/>
      <w:bookmarkStart w:id="424" w:name="_Toc151190174"/>
      <w:r/>
      <w:bookmarkStart w:id="425" w:name="_Toc150774752"/>
      <w:r/>
      <w:bookmarkStart w:id="426" w:name="_Toc264969237"/>
      <w:r/>
      <w:bookmarkStart w:id="427" w:name="_Toc127161461"/>
      <w:r/>
      <w:bookmarkStart w:id="428" w:name="_Toc151193789"/>
      <w:r/>
      <w:bookmarkStart w:id="429" w:name="_Toc151193645"/>
      <w:r/>
      <w:bookmarkStart w:id="430" w:name="_Toc164608661"/>
      <w:r/>
      <w:bookmarkStart w:id="431" w:name="_Toc150774647"/>
      <w:r/>
      <w:bookmarkStart w:id="432" w:name="_Toc226337243"/>
      <w:r/>
      <w:bookmarkStart w:id="433" w:name="_Toc164229242"/>
      <w:r/>
      <w:bookmarkStart w:id="434" w:name="_Toc305158889"/>
      <w:r/>
      <w:bookmarkStart w:id="435" w:name="_Toc164608816"/>
      <w:r/>
      <w:bookmarkStart w:id="436" w:name="_Toc164351641"/>
      <w:r/>
      <w:bookmarkStart w:id="437" w:name="_Toc265228385"/>
      <w:r/>
      <w:bookmarkStart w:id="438" w:name="_Toc305158815"/>
      <w:r/>
      <w:bookmarkStart w:id="439" w:name="_Toc149720840"/>
      <w:r/>
      <w:bookmarkStart w:id="440" w:name="_Toc150480785"/>
      <w:r/>
      <w:bookmarkStart w:id="441" w:name="_Toc226309791"/>
      <w:r/>
      <w:bookmarkStart w:id="442" w:name="_Toc195842912"/>
      <w:r/>
      <w:bookmarkStart w:id="443" w:name="_Toc226965820"/>
      <w:r/>
      <w:bookmarkStart w:id="444" w:name="_Toc150509298"/>
      <w:r>
        <w:rPr>
          <w:rFonts w:hint="eastAsia" w:ascii="宋体" w:hAnsi="宋体" w:eastAsia="宋体" w:cs="宋体"/>
          <w:color w:val="000000"/>
          <w:sz w:val="24"/>
          <w:szCs w:val="24"/>
          <w:highlight w:val="none"/>
        </w:rPr>
        <w:t xml:space="preserve">确定成交供应商</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45" w:name="_Toc305158817"/>
      <w:r/>
      <w:bookmarkStart w:id="446" w:name="_Toc305158891"/>
      <w:r/>
      <w:bookmarkStart w:id="447" w:name="_Toc226309793"/>
      <w:r/>
      <w:bookmarkStart w:id="448" w:name="_Toc164229244"/>
      <w:r/>
      <w:bookmarkStart w:id="449" w:name="_Toc151190176"/>
      <w:r/>
      <w:bookmarkStart w:id="450" w:name="_Toc195842914"/>
      <w:r/>
      <w:bookmarkStart w:id="451" w:name="_Toc127151750"/>
      <w:r/>
      <w:bookmarkStart w:id="452" w:name="_Toc226337245"/>
      <w:r/>
      <w:bookmarkStart w:id="453" w:name="_Toc150480787"/>
      <w:r/>
      <w:bookmarkStart w:id="454" w:name="_Toc151193863"/>
      <w:r/>
      <w:bookmarkStart w:id="455" w:name="_Toc150509300"/>
      <w:r/>
      <w:bookmarkStart w:id="456" w:name="_Toc226965822"/>
      <w:r/>
      <w:bookmarkStart w:id="457" w:name="_Toc151193937"/>
      <w:r/>
      <w:bookmarkStart w:id="458" w:name="_Toc151193719"/>
      <w:r/>
      <w:bookmarkStart w:id="459" w:name="_Toc149720842"/>
      <w:r/>
      <w:bookmarkStart w:id="460" w:name="_Toc150774649"/>
      <w:r/>
      <w:bookmarkStart w:id="461" w:name="_Toc127151549"/>
      <w:r/>
      <w:bookmarkStart w:id="462" w:name="_Toc164229390"/>
      <w:r/>
      <w:bookmarkStart w:id="463" w:name="_Toc127161463"/>
      <w:r/>
      <w:bookmarkStart w:id="464" w:name="_Toc164608663"/>
      <w:r/>
      <w:bookmarkStart w:id="465" w:name="_Toc164608818"/>
      <w:r/>
      <w:bookmarkStart w:id="466" w:name="_Toc264969239"/>
      <w:r/>
      <w:bookmarkStart w:id="467" w:name="_Toc142311051"/>
      <w:r/>
      <w:bookmarkStart w:id="468" w:name="_Toc150774754"/>
      <w:r/>
      <w:bookmarkStart w:id="469" w:name="_Toc151193791"/>
      <w:r/>
      <w:bookmarkStart w:id="470" w:name="_Toc164351643"/>
      <w:r/>
      <w:bookmarkStart w:id="471" w:name="_Toc151193647"/>
      <w:r/>
      <w:bookmarkStart w:id="472" w:name="_Toc226965739"/>
      <w:r/>
      <w:bookmarkStart w:id="473" w:name="_Toc265228387"/>
      <w:r/>
      <w:bookmarkStart w:id="474" w:name="_Toc520356176"/>
      <w:r/>
      <w:bookmarkStart w:id="475" w:name="_Ref467307090"/>
      <w:r/>
      <w:bookmarkStart w:id="476" w:name="_Ref467306425"/>
      <w:r>
        <w:rPr>
          <w:rFonts w:hint="eastAsia" w:ascii="宋体" w:hAnsi="宋体" w:eastAsia="宋体" w:cs="宋体"/>
          <w:color w:val="000000"/>
          <w:sz w:val="24"/>
          <w:szCs w:val="24"/>
          <w:highlight w:val="none"/>
        </w:rPr>
        <w:t xml:space="preserve">成交公告与成交通知书</w:t>
      </w:r>
      <w:bookmarkEnd w:id="445"/>
      <w:r/>
      <w:bookmarkEnd w:id="446"/>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常州市政府采购网和江苏尚阳工程管理有限公司网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1094"/>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094"/>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Start w:id="477" w:name="_Toc151193720"/>
      <w:r/>
      <w:bookmarkStart w:id="478" w:name="_Toc127151751"/>
      <w:r/>
      <w:bookmarkStart w:id="479" w:name="_Toc151193648"/>
      <w:r/>
      <w:bookmarkStart w:id="480" w:name="_Toc305158818"/>
      <w:r/>
      <w:bookmarkStart w:id="481" w:name="_Toc305158892"/>
      <w:r/>
      <w:bookmarkStart w:id="482" w:name="_Ref467306978"/>
      <w:r/>
      <w:bookmarkStart w:id="483" w:name="_Toc150480788"/>
      <w:r/>
      <w:bookmarkStart w:id="484" w:name="_Toc150509301"/>
      <w:r/>
      <w:bookmarkStart w:id="485" w:name="_Toc149720843"/>
      <w:r/>
      <w:bookmarkStart w:id="486" w:name="_Toc151193938"/>
      <w:r/>
      <w:bookmarkStart w:id="487" w:name="_Toc265228388"/>
      <w:r/>
      <w:bookmarkStart w:id="488" w:name="_Toc151193792"/>
      <w:r/>
      <w:bookmarkStart w:id="489" w:name="_Toc226337246"/>
      <w:r/>
      <w:bookmarkStart w:id="490" w:name="_Toc226309794"/>
      <w:r/>
      <w:bookmarkStart w:id="491" w:name="_Toc226965740"/>
      <w:r/>
      <w:bookmarkStart w:id="492" w:name="_Toc127151550"/>
      <w:r/>
      <w:bookmarkStart w:id="493" w:name="_Toc164229245"/>
      <w:r/>
      <w:bookmarkStart w:id="494" w:name="_Toc142311052"/>
      <w:r/>
      <w:bookmarkStart w:id="495" w:name="_Ref467306377"/>
      <w:r/>
      <w:bookmarkStart w:id="496" w:name="_Toc150774755"/>
      <w:r/>
      <w:bookmarkStart w:id="497" w:name="_Toc164608819"/>
      <w:r/>
      <w:bookmarkStart w:id="498" w:name="_Ref467307062"/>
      <w:r/>
      <w:bookmarkStart w:id="499" w:name="_Toc164608664"/>
      <w:r/>
      <w:bookmarkStart w:id="500" w:name="_Toc264969240"/>
      <w:r/>
      <w:bookmarkStart w:id="501" w:name="_Toc164351644"/>
      <w:r/>
      <w:bookmarkStart w:id="502" w:name="_Ref467307204"/>
      <w:r/>
      <w:bookmarkStart w:id="503" w:name="_Toc151193864"/>
      <w:r/>
      <w:bookmarkStart w:id="504" w:name="_Toc150774650"/>
      <w:r/>
      <w:bookmarkStart w:id="505" w:name="_Toc127161464"/>
      <w:r/>
      <w:bookmarkStart w:id="506" w:name="_Toc195842915"/>
      <w:r/>
      <w:bookmarkStart w:id="507" w:name="_Toc226965823"/>
      <w:r/>
      <w:bookmarkStart w:id="508" w:name="_Toc520356175"/>
      <w:r/>
      <w:bookmarkStart w:id="509" w:name="_Toc164229391"/>
      <w:r/>
      <w:bookmarkStart w:id="510" w:name="_Toc151190177"/>
      <w:r>
        <w:rPr>
          <w:rFonts w:hint="eastAsia" w:ascii="宋体" w:hAnsi="宋体" w:eastAsia="宋体" w:cs="宋体"/>
          <w:color w:val="000000"/>
          <w:sz w:val="24"/>
          <w:szCs w:val="24"/>
          <w:highlight w:val="none"/>
        </w:rPr>
        <w:t xml:space="preserve">签订合同</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本项目是否允许分包，见《供应商须知资料表》。</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74"/>
      <w:r/>
      <w:bookmarkEnd w:id="475"/>
      <w:r/>
      <w:bookmarkEnd w:id="476"/>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173"/>
          <w:rFonts w:hint="eastAsia" w:ascii="宋体" w:hAnsi="宋体" w:eastAsia="宋体" w:cs="宋体"/>
          <w:color w:val="000000"/>
          <w:sz w:val="24"/>
          <w:szCs w:val="24"/>
          <w:highlight w:val="none"/>
        </w:rPr>
        <w:t xml:space="preserve">http://gk</w:t>
      </w:r>
      <w:bookmarkStart w:id="511" w:name="_Hlt100654014"/>
      <w:r>
        <w:rPr>
          <w:rStyle w:val="1173"/>
          <w:rFonts w:hint="eastAsia" w:ascii="宋体" w:hAnsi="宋体" w:eastAsia="宋体" w:cs="宋体"/>
          <w:color w:val="000000"/>
          <w:sz w:val="24"/>
          <w:szCs w:val="24"/>
          <w:highlight w:val="none"/>
        </w:rPr>
        <w:t xml:space="preserve">s</w:t>
      </w:r>
      <w:bookmarkEnd w:id="511"/>
      <w:r>
        <w:rPr>
          <w:rStyle w:val="1173"/>
          <w:rFonts w:hint="eastAsia" w:ascii="宋体" w:hAnsi="宋体" w:eastAsia="宋体" w:cs="宋体"/>
          <w:color w:val="000000"/>
          <w:sz w:val="24"/>
          <w:szCs w:val="24"/>
          <w:highlight w:val="none"/>
        </w:rPr>
        <w:t xml:space="preserve">.m</w:t>
      </w:r>
      <w:bookmarkStart w:id="512" w:name="_Hlt100653994"/>
      <w:r/>
      <w:bookmarkStart w:id="513" w:name="_Hlt100653993"/>
      <w:r>
        <w:rPr>
          <w:rStyle w:val="1173"/>
          <w:rFonts w:hint="eastAsia" w:ascii="宋体" w:hAnsi="宋体" w:eastAsia="宋体" w:cs="宋体"/>
          <w:color w:val="000000"/>
          <w:sz w:val="24"/>
          <w:szCs w:val="24"/>
          <w:highlight w:val="none"/>
        </w:rPr>
        <w:t xml:space="preserve">o</w:t>
      </w:r>
      <w:bookmarkEnd w:id="512"/>
      <w:r/>
      <w:bookmarkEnd w:id="513"/>
      <w:r/>
      <w:bookmarkStart w:id="514" w:name="_Hlt101169156"/>
      <w:r>
        <w:rPr>
          <w:rStyle w:val="1173"/>
          <w:rFonts w:hint="eastAsia" w:ascii="宋体" w:hAnsi="宋体" w:eastAsia="宋体" w:cs="宋体"/>
          <w:color w:val="000000"/>
          <w:sz w:val="24"/>
          <w:szCs w:val="24"/>
          <w:highlight w:val="none"/>
        </w:rPr>
        <w:t xml:space="preserve">f</w:t>
      </w:r>
      <w:bookmarkEnd w:id="514"/>
      <w:r>
        <w:rPr>
          <w:rStyle w:val="1173"/>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1094"/>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rPr>
      </w:r>
      <w:r/>
    </w:p>
    <w:p>
      <w:pPr>
        <w:pStyle w:val="1094"/>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1094"/>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sz w:val="24"/>
          <w:szCs w:val="24"/>
          <w:highlight w:val="none"/>
        </w:rPr>
      </w:r>
      <w:r/>
    </w:p>
    <w:p>
      <w:pPr>
        <w:pStyle w:val="1094"/>
        <w:jc w:val="center"/>
        <w:keepLines w:val="0"/>
        <w:keepNext w:val="0"/>
        <w:pageBreakBefore w:val="0"/>
        <w:spacing w:line="360" w:lineRule="auto"/>
        <w:widowControl w:val="off"/>
        <w:rPr>
          <w:b/>
          <w:color w:val="000000"/>
          <w:sz w:val="36"/>
          <w:szCs w:val="36"/>
          <w:highlight w:val="none"/>
        </w:rPr>
        <w:outlineLvl w:val="0"/>
      </w:pPr>
      <w:r/>
      <w:bookmarkStart w:id="515" w:name="_Toc353873664"/>
      <w:r/>
      <w:bookmarkStart w:id="516" w:name="_Toc265228392"/>
      <w:r/>
      <w:bookmarkStart w:id="517" w:name="_Toc142311056"/>
      <w:r/>
      <w:bookmarkStart w:id="518" w:name="_Toc150774759"/>
      <w:r/>
      <w:bookmarkStart w:id="519" w:name="_Toc127151554"/>
      <w:r/>
      <w:bookmarkStart w:id="520" w:name="_Toc226337250"/>
      <w:r/>
      <w:bookmarkStart w:id="521" w:name="_Toc2600"/>
      <w:r/>
      <w:bookmarkStart w:id="522" w:name="_Toc104818927"/>
      <w:r/>
      <w:bookmarkStart w:id="523" w:name="_Toc264969244"/>
      <w:r/>
      <w:bookmarkStart w:id="524" w:name="_Toc353825544"/>
      <w:r/>
      <w:bookmarkStart w:id="525" w:name="_Toc353873934"/>
      <w:r/>
      <w:bookmarkStart w:id="526" w:name="_Toc150480792"/>
      <w:r/>
      <w:bookmarkStart w:id="527" w:name="_Toc226965827"/>
      <w:r/>
      <w:bookmarkStart w:id="528" w:name="_Toc305158896"/>
      <w:r/>
      <w:bookmarkStart w:id="529" w:name="_Toc305158822"/>
      <w:r>
        <w:rPr>
          <w:b/>
          <w:color w:val="000000"/>
          <w:sz w:val="36"/>
          <w:szCs w:val="36"/>
          <w:highlight w:val="none"/>
        </w:rPr>
        <w:t xml:space="preserve">第三章   </w:t>
      </w:r>
      <w:bookmarkEnd w:id="515"/>
      <w:r/>
      <w:bookmarkEnd w:id="516"/>
      <w:r/>
      <w:bookmarkEnd w:id="517"/>
      <w:r/>
      <w:bookmarkEnd w:id="518"/>
      <w:r/>
      <w:bookmarkEnd w:id="519"/>
      <w:r/>
      <w:bookmarkEnd w:id="520"/>
      <w:r/>
      <w:bookmarkEnd w:id="523"/>
      <w:r/>
      <w:bookmarkEnd w:id="524"/>
      <w:r/>
      <w:bookmarkEnd w:id="525"/>
      <w:r/>
      <w:bookmarkEnd w:id="526"/>
      <w:r/>
      <w:bookmarkEnd w:id="527"/>
      <w:r/>
      <w:bookmarkEnd w:id="528"/>
      <w:r/>
      <w:bookmarkEnd w:id="52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21"/>
      <w:r/>
      <w:bookmarkEnd w:id="522"/>
      <w:r/>
      <w:bookmarkStart w:id="530" w:name="_Toc487900382"/>
      <w:r>
        <w:rPr>
          <w:b/>
          <w:color w:val="000000"/>
          <w:sz w:val="36"/>
          <w:szCs w:val="36"/>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一、评审程序</w:t>
      </w:r>
      <w:r>
        <w:rPr>
          <w:rFonts w:hint="eastAsia" w:ascii="宋体" w:hAnsi="宋体" w:eastAsia="宋体" w:cs="Times New Roman"/>
          <w:b/>
          <w:bCs/>
          <w:color w:val="000000"/>
          <w:sz w:val="28"/>
          <w:szCs w:val="28"/>
          <w:highlight w:val="none"/>
          <w:lang w:val="en-US" w:eastAsia="zh-CN"/>
        </w:rPr>
      </w:r>
      <w:r/>
    </w:p>
    <w:p>
      <w:pPr>
        <w:pStyle w:val="1094"/>
        <w:numPr>
          <w:ilvl w:val="0"/>
          <w:numId w:val="11"/>
        </w:numPr>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bookmarkStart w:id="531" w:name="_Toc226965814"/>
      <w:r/>
      <w:bookmarkStart w:id="532" w:name="_Toc150774641"/>
      <w:r/>
      <w:bookmarkStart w:id="533" w:name="_Toc164229382"/>
      <w:r/>
      <w:bookmarkStart w:id="534" w:name="_Toc151193711"/>
      <w:r/>
      <w:bookmarkStart w:id="535" w:name="_Toc264969231"/>
      <w:r/>
      <w:bookmarkStart w:id="536" w:name="_Toc164608655"/>
      <w:r/>
      <w:bookmarkStart w:id="537" w:name="_Toc142311043"/>
      <w:r/>
      <w:bookmarkStart w:id="538" w:name="_Toc265228379"/>
      <w:r/>
      <w:bookmarkStart w:id="539" w:name="_Toc226965731"/>
      <w:r/>
      <w:bookmarkStart w:id="540" w:name="_Toc150480779"/>
      <w:r/>
      <w:bookmarkStart w:id="541" w:name="_Toc226309785"/>
      <w:r/>
      <w:bookmarkStart w:id="542" w:name="_Toc151193783"/>
      <w:r/>
      <w:bookmarkStart w:id="543" w:name="_Toc127151742"/>
      <w:r/>
      <w:bookmarkStart w:id="544" w:name="_Toc164608810"/>
      <w:r/>
      <w:bookmarkStart w:id="545" w:name="_Toc151193855"/>
      <w:r/>
      <w:bookmarkStart w:id="546" w:name="_Toc164229236"/>
      <w:r/>
      <w:bookmarkStart w:id="547" w:name="_Toc150774746"/>
      <w:r/>
      <w:bookmarkStart w:id="548" w:name="_Toc305158883"/>
      <w:r/>
      <w:bookmarkStart w:id="549" w:name="_Toc195842906"/>
      <w:r/>
      <w:bookmarkStart w:id="550" w:name="_Toc149720834"/>
      <w:r/>
      <w:bookmarkStart w:id="551" w:name="_Toc127161455"/>
      <w:r/>
      <w:bookmarkStart w:id="552" w:name="_Toc151193639"/>
      <w:r/>
      <w:bookmarkStart w:id="553" w:name="_Toc150509292"/>
      <w:r/>
      <w:bookmarkStart w:id="554" w:name="_Toc127151541"/>
      <w:r/>
      <w:bookmarkStart w:id="555" w:name="_Toc151190168"/>
      <w:r/>
      <w:bookmarkStart w:id="556" w:name="_Toc226337237"/>
      <w:r/>
      <w:bookmarkStart w:id="557" w:name="_Toc164351635"/>
      <w:r/>
      <w:bookmarkStart w:id="558" w:name="_Toc305158809"/>
      <w:r/>
      <w:bookmarkStart w:id="559" w:name="_Toc151193929"/>
      <w:r/>
      <w:bookmarkStart w:id="560" w:name="_Toc353873941"/>
      <w:r/>
      <w:bookmarkStart w:id="561" w:name="_Toc353825551"/>
      <w:r/>
      <w:bookmarkStart w:id="562" w:name="_Toc265228393"/>
      <w:r/>
      <w:bookmarkStart w:id="563" w:name="_Toc353825545"/>
      <w:r/>
      <w:bookmarkStart w:id="564" w:name="_Toc150774760"/>
      <w:r/>
      <w:bookmarkStart w:id="565" w:name="_Toc305158897"/>
      <w:r/>
      <w:bookmarkStart w:id="566" w:name="_Toc226337251"/>
      <w:r/>
      <w:bookmarkStart w:id="567" w:name="_Toc142311057"/>
      <w:r/>
      <w:bookmarkStart w:id="568" w:name="_Toc305158823"/>
      <w:r/>
      <w:bookmarkStart w:id="569" w:name="_Toc127151555"/>
      <w:r/>
      <w:bookmarkStart w:id="570" w:name="_Toc150480793"/>
      <w:r/>
      <w:bookmarkStart w:id="571" w:name="_Toc226965828"/>
      <w:r/>
      <w:bookmarkStart w:id="572" w:name="_Toc195842920"/>
      <w:r/>
      <w:bookmarkStart w:id="573" w:name="_Toc353873665"/>
      <w:r/>
      <w:bookmarkStart w:id="574" w:name="_Toc264969245"/>
      <w:r/>
      <w:bookmarkStart w:id="575" w:name="_Toc353873935"/>
      <w:r>
        <w:rPr>
          <w:rFonts w:hint="eastAsia" w:ascii="宋体" w:hAnsi="宋体" w:eastAsia="宋体" w:cs="宋体"/>
          <w:color w:val="000000"/>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eastAsia="宋体" w:cs="宋体"/>
          <w:color w:val="000000"/>
          <w:sz w:val="24"/>
          <w:highlight w:val="none"/>
        </w:rPr>
        <w:t xml:space="preserve">资格性检查和符合性审查</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highlight w:val="none"/>
        </w:rPr>
        <w:t xml:space="preserve">无效响应</w:t>
      </w:r>
      <w:r>
        <w:rPr>
          <w:rFonts w:hint="eastAsia" w:ascii="宋体" w:hAnsi="宋体" w:eastAsia="宋体" w:cs="宋体"/>
          <w:color w:val="000000"/>
          <w:sz w:val="24"/>
          <w:highlight w:val="none"/>
        </w:rPr>
        <w:t xml:space="preserve">处理，磋商小组应当告知提交响应文件的供应商。</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《资格性检查要求》见下表：</w:t>
      </w:r>
      <w:r>
        <w:rPr>
          <w:rFonts w:hint="eastAsia" w:ascii="宋体" w:hAnsi="宋体" w:eastAsia="宋体" w:cs="宋体"/>
          <w:color w:val="000000"/>
          <w:sz w:val="24"/>
          <w:highlight w:val="none"/>
        </w:rPr>
      </w:r>
      <w:r/>
    </w:p>
    <w:p>
      <w:pPr>
        <w:pStyle w:val="1094"/>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bookmarkStart w:id="576" w:name="_Hlt487972895"/>
            <w:r/>
            <w:bookmarkEnd w:id="576"/>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28"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494"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6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trHeight w:val="20"/>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728"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4494"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具体规定见第一章《采购邀请》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468"/>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728"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rPr>
            </w:r>
            <w:r/>
          </w:p>
        </w:tc>
        <w:tc>
          <w:tcPr>
            <w:tcW w:w="4494"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提供了符合采购文件要求的《供应商资格声明函》。</w:t>
            </w:r>
            <w:r>
              <w:rPr>
                <w:rFonts w:hint="eastAsia" w:ascii="宋体" w:hAnsi="宋体" w:eastAsia="宋体" w:cs="宋体"/>
                <w:color w:val="000000"/>
                <w:sz w:val="24"/>
                <w:highlight w:val="none"/>
              </w:rPr>
            </w:r>
            <w:r/>
          </w:p>
        </w:tc>
        <w:tc>
          <w:tcPr>
            <w:tcW w:w="1660"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728"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供应商信用记录</w:t>
            </w:r>
            <w:r>
              <w:rPr>
                <w:rFonts w:hint="eastAsia" w:ascii="宋体" w:hAnsi="宋体" w:eastAsia="宋体" w:cs="宋体"/>
                <w:color w:val="000000"/>
                <w:sz w:val="24"/>
                <w:highlight w:val="none"/>
              </w:rPr>
            </w:r>
            <w:r/>
          </w:p>
        </w:tc>
        <w:tc>
          <w:tcPr>
            <w:tcW w:w="4494" w:type="dxa"/>
            <w:vAlign w:val="center"/>
            <w:textDirection w:val="lrTb"/>
            <w:noWrap w:val="false"/>
          </w:tcPr>
          <w:p>
            <w:pPr>
              <w:pStyle w:val="1094"/>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1094"/>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highlight w:val="none"/>
              </w:rPr>
            </w:r>
            <w:r/>
          </w:p>
          <w:p>
            <w:pPr>
              <w:pStyle w:val="1094"/>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660"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无须供应商提供，由采购人查询。</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728"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4494"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具体要求见第一章《采购邀请》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1094"/>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728"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rPr>
            </w:r>
            <w:r/>
          </w:p>
        </w:tc>
        <w:tc>
          <w:tcPr>
            <w:tcW w:w="4494" w:type="dxa"/>
            <w:vAlign w:val="center"/>
            <w:textDirection w:val="lrTb"/>
            <w:noWrap w:val="false"/>
          </w:tcPr>
          <w:p>
            <w:pPr>
              <w:pStyle w:val="1094"/>
              <w:keepLines w:val="0"/>
              <w:keepNext w:val="0"/>
              <w:pageBreakBefore w:val="0"/>
              <w:widowControl w:val="off"/>
              <w:tabs>
                <w:tab w:val="left" w:pos="1080" w:leader="none"/>
              </w:tabs>
              <w:rPr>
                <w:rFonts w:hint="eastAsia"/>
                <w:color w:val="000000"/>
                <w:highlight w:val="none"/>
              </w:rPr>
              <w:outlineLvl w:val="9"/>
            </w:pPr>
            <w:r>
              <w:rPr>
                <w:rFonts w:hint="eastAsia" w:ascii="宋体" w:hAnsi="宋体" w:eastAsia="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rFonts w:hint="eastAsia"/>
                <w:color w:val="000000"/>
                <w:highlight w:val="none"/>
              </w:rPr>
            </w:r>
            <w:r/>
          </w:p>
          <w:p>
            <w:pPr>
              <w:pStyle w:val="1094"/>
              <w:keepLines w:val="0"/>
              <w:keepNext w:val="0"/>
              <w:pageBreakBefore w:val="0"/>
              <w:widowControl w:val="off"/>
              <w:tabs>
                <w:tab w:val="left" w:pos="108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bCs/>
                <w:color w:val="000000"/>
                <w:sz w:val="24"/>
                <w:highlight w:val="none"/>
              </w:rPr>
            </w:r>
            <w:r/>
          </w:p>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bCs/>
                <w:color w:val="000000"/>
                <w:sz w:val="24"/>
                <w:highlight w:val="none"/>
              </w:rPr>
              <w:t xml:space="preserve">注2：残疾人福利性单位须按磋商文件要求提供《残疾人福利性单位声明函》。</w:t>
            </w:r>
            <w:r>
              <w:rPr>
                <w:rFonts w:hint="eastAsia" w:ascii="宋体" w:hAnsi="宋体" w:eastAsia="宋体" w:cs="宋体"/>
                <w:color w:val="000000"/>
                <w:sz w:val="24"/>
                <w:highlight w:val="none"/>
              </w:rPr>
            </w:r>
            <w:r/>
          </w:p>
        </w:tc>
        <w:tc>
          <w:tcPr>
            <w:tcW w:w="1660" w:type="dxa"/>
            <w:vAlign w:val="center"/>
            <w:textDirection w:val="lrTb"/>
            <w:noWrap w:val="false"/>
          </w:tcPr>
          <w:p>
            <w:pPr>
              <w:pStyle w:val="1094"/>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bl>
    <w:p>
      <w:pPr>
        <w:pStyle w:val="1094"/>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《符合性审查要求》见下表：</w:t>
      </w:r>
      <w:r>
        <w:rPr>
          <w:rFonts w:hint="eastAsia" w:ascii="宋体" w:hAnsi="宋体" w:eastAsia="宋体" w:cs="宋体"/>
          <w:color w:val="000000"/>
          <w:sz w:val="24"/>
          <w:highlight w:val="none"/>
        </w:rPr>
      </w:r>
      <w:r/>
    </w:p>
    <w:p>
      <w:pPr>
        <w:pStyle w:val="1094"/>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符合性审查要求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trHeight w:val="300"/>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664" w:type="dxa"/>
            <w:vAlign w:val="center"/>
            <w:textDirection w:val="lrTb"/>
            <w:noWrap w:val="false"/>
          </w:tcPr>
          <w:p>
            <w:pPr>
              <w:pStyle w:val="1094"/>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6170" w:type="dxa"/>
            <w:vAlign w:val="center"/>
            <w:textDirection w:val="lrTb"/>
            <w:noWrap w:val="false"/>
          </w:tcPr>
          <w:p>
            <w:pPr>
              <w:pStyle w:val="1094"/>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按磋商文件要求提供响应函、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未将一个</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采购包中的内容拆开响应；</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响应报价未</w:t>
            </w:r>
            <w:r>
              <w:rPr>
                <w:rFonts w:hint="eastAsia" w:ascii="宋体" w:hAnsi="宋体" w:eastAsia="宋体" w:cs="宋体"/>
                <w:color w:val="000000"/>
                <w:sz w:val="24"/>
                <w:highlight w:val="none"/>
              </w:rPr>
              <w:t xml:space="preserve">超过磋商文件中规定的项目/采购包预算金额或者项目/采购包最高限价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w:t>
            </w:r>
            <w:r>
              <w:rPr>
                <w:rFonts w:hint="eastAsia" w:ascii="宋体" w:hAnsi="宋体" w:eastAsia="宋体" w:cs="宋体"/>
                <w:color w:val="000000"/>
                <w:sz w:val="24"/>
                <w:highlight w:val="none"/>
              </w:rPr>
              <w:t xml:space="preserve">出现可选择性或可调整的报价（磋商文件另有规定的除外）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响应文件中承诺的响应有效期满足磋商文件中载明的响应有效期的；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按照磋商文件要求签署、加盖公章的；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标记为“实质性格式”的文件均按磋商文件要求提供；</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报价的修正</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响应文件报价出现前后不一致时，供应商对修正后的报价予以确认；</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报价合理性</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rPr>
                <w:rFonts w:hint="eastAsia" w:ascii="宋体" w:hAnsi="宋体" w:eastAsia="宋体" w:cs="宋体"/>
                <w:color w:val="000000"/>
                <w:sz w:val="24"/>
                <w:highlight w:val="none"/>
              </w:rPr>
            </w:r>
            <w:r/>
          </w:p>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根据苏财购〔2025〕62号文件规定，评审中出现下列情形之</w:t>
            </w:r>
            <w:r>
              <w:rPr>
                <w:rFonts w:hint="eastAsia" w:ascii="宋体" w:hAnsi="宋体" w:eastAsia="宋体" w:cs="宋体"/>
                <w:color w:val="000000"/>
                <w:sz w:val="24"/>
                <w:highlight w:val="none"/>
              </w:rPr>
              <w:t xml:space="preserve">一的，评审小组应当启动异常低价投标（响应）审查程序：1）响应低于采购项目预算 50% 的；2）响应报价低于采购项目最高限价 45%的；3）评审小组认定的供应商报价过低、有可能影响产品质量或者不能诚信履约的其他情形。评审小组将通过苏采云系统要求供应商在评标现场合理的时间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highlight w:val="none"/>
              </w:rPr>
            </w:r>
            <w:r/>
          </w:p>
        </w:tc>
      </w:tr>
      <w:tr>
        <w:trPr>
          <w:trHeight w:val="90"/>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串通响应</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响应文件未含有采购人不能接受的附加条件的；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1094"/>
              <w:jc w:val="center"/>
              <w:keepLines w:val="0"/>
              <w:keepNext w:val="0"/>
              <w:pageBreakBefore w:val="0"/>
              <w:widowControl/>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664"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6170" w:type="dxa"/>
            <w:vAlign w:val="center"/>
            <w:textDirection w:val="lrTb"/>
            <w:noWrap w:val="false"/>
          </w:tcPr>
          <w:p>
            <w:pPr>
              <w:pStyle w:val="1094"/>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供应商、响应文件不存在不符合法律、法规和磋商文件规定的其他无效情形。</w:t>
            </w:r>
            <w:r>
              <w:rPr>
                <w:rFonts w:hint="eastAsia" w:ascii="宋体" w:hAnsi="宋体" w:eastAsia="宋体" w:cs="宋体"/>
                <w:color w:val="000000"/>
                <w:sz w:val="24"/>
                <w:highlight w:val="none"/>
              </w:rPr>
            </w:r>
            <w:r/>
          </w:p>
        </w:tc>
      </w:tr>
    </w:tbl>
    <w:p>
      <w:pPr>
        <w:pStyle w:val="109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94"/>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w:t>
      </w:r>
      <w:r>
        <w:rPr>
          <w:rFonts w:hint="eastAsia"/>
          <w:b/>
          <w:color w:val="000000"/>
          <w:sz w:val="24"/>
          <w:highlight w:val="none"/>
          <w:lang w:eastAsia="zh-CN"/>
        </w:rPr>
        <w:t xml:space="preserve">“苏采云”政府采购一体化平台</w:t>
      </w:r>
      <w:r>
        <w:rPr>
          <w:rFonts w:hint="eastAsia"/>
          <w:b/>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lang w:eastAsia="zh-CN"/>
        </w:rPr>
        <w:t xml:space="preserve">。</w:t>
      </w:r>
      <w:r>
        <w:rPr>
          <w:b/>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94"/>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94"/>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最终报价的算术修正及政策调整</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采购包中的内容拆开响应，其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最终报价出现前后不一致的，按照下列规定修正：</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竞争性磋商文件对于报价修正是否另有规定：</w:t>
      </w:r>
      <w:r>
        <w:rPr>
          <w:rFonts w:hint="eastAsia" w:ascii="宋体" w:hAnsi="宋体" w:eastAsia="宋体" w:cs="宋体"/>
          <w:color w:val="000000"/>
          <w:sz w:val="24"/>
          <w:highlight w:val="none"/>
        </w:rPr>
      </w:r>
      <w:r/>
    </w:p>
    <w:p>
      <w:pPr>
        <w:pStyle w:val="1094"/>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r>
      <w:r/>
    </w:p>
    <w:p>
      <w:pPr>
        <w:pStyle w:val="1094"/>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无，按下述3.2.2-3.2.5项规定修正。</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单价金额小数点或者百分比有明显错位的，以最终报价一览表的总价为准，并修改单价；</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2"/>
          <w:numId w:val="11"/>
        </w:numPr>
        <w:ind w:left="2035"/>
        <w:keepLines w:val="0"/>
        <w:keepNext w:val="0"/>
        <w:pageBreakBefore w:val="0"/>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落实政府采购政策的价格调整：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磋商环节及提交最终报价后如出现以下情况的，供应商的</w:t>
      </w:r>
      <w:r>
        <w:rPr>
          <w:rFonts w:hint="eastAsia" w:ascii="宋体" w:hAnsi="宋体" w:eastAsia="宋体" w:cs="宋体"/>
          <w:b/>
          <w:color w:val="000000"/>
          <w:sz w:val="24"/>
          <w:highlight w:val="none"/>
        </w:rPr>
        <w:t xml:space="preserve">响应文件无效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供应商对实质性变动不予确认的；</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未按照磋商小组规定的时间、逾期提交最终报价的；</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响应文件中出现可选择性或可调整的报价的（竞争性磋商文件另有规定的除外）；</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最终报价出现前后不一致，供应商对修正后的报价不予确认的；</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1094"/>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bookmarkEnd w:id="560"/>
      <w:r/>
      <w:bookmarkEnd w:id="561"/>
      <w:r>
        <w:rPr>
          <w:rFonts w:hint="eastAsia" w:ascii="宋体" w:hAnsi="宋体" w:eastAsia="宋体" w:cs="宋体"/>
          <w:color w:val="000000"/>
          <w:sz w:val="24"/>
          <w:highlight w:val="none"/>
        </w:rPr>
        <w:t xml:space="preserve">评审方法和评审标准</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竞争性磋商文件中没有规定的评审标准不得作为评审依据。</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94"/>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577" w:name="_Toc150509297"/>
      <w:r/>
      <w:bookmarkStart w:id="578" w:name="_Toc226965736"/>
      <w:r/>
      <w:bookmarkStart w:id="579" w:name="_Toc520356170"/>
      <w:r/>
      <w:bookmarkStart w:id="580" w:name="_Toc164608660"/>
      <w:r/>
      <w:bookmarkStart w:id="581" w:name="_Toc226309790"/>
      <w:r/>
      <w:bookmarkStart w:id="582" w:name="_Toc151190173"/>
      <w:r/>
      <w:bookmarkStart w:id="583" w:name="_Toc127151546"/>
      <w:r/>
      <w:bookmarkStart w:id="584" w:name="_Toc127161460"/>
      <w:r/>
      <w:bookmarkStart w:id="585" w:name="_Toc151193644"/>
      <w:r/>
      <w:bookmarkStart w:id="586" w:name="_Toc264969236"/>
      <w:r/>
      <w:bookmarkStart w:id="587" w:name="_Toc265228384"/>
      <w:r/>
      <w:bookmarkStart w:id="588" w:name="_Toc151193860"/>
      <w:r/>
      <w:bookmarkStart w:id="589" w:name="_Toc305158814"/>
      <w:r/>
      <w:bookmarkStart w:id="590" w:name="_Toc164229241"/>
      <w:r/>
      <w:bookmarkStart w:id="591" w:name="_Toc195842911"/>
      <w:r/>
      <w:bookmarkStart w:id="592" w:name="_Toc164351640"/>
      <w:r/>
      <w:bookmarkStart w:id="593" w:name="_Toc226965819"/>
      <w:r/>
      <w:bookmarkStart w:id="594" w:name="_Toc151193716"/>
      <w:r/>
      <w:bookmarkStart w:id="595" w:name="_Toc150774751"/>
      <w:r/>
      <w:bookmarkStart w:id="596" w:name="_Toc150774646"/>
      <w:r/>
      <w:bookmarkStart w:id="597" w:name="_Toc127151747"/>
      <w:r/>
      <w:bookmarkStart w:id="598" w:name="_Toc226337242"/>
      <w:r/>
      <w:bookmarkStart w:id="599" w:name="_Toc151193788"/>
      <w:r/>
      <w:bookmarkStart w:id="600" w:name="_Ref467307010"/>
      <w:r/>
      <w:bookmarkStart w:id="601" w:name="_Toc305158888"/>
      <w:r/>
      <w:bookmarkStart w:id="602" w:name="_Toc164229387"/>
      <w:r/>
      <w:bookmarkStart w:id="603" w:name="_Toc142311048"/>
      <w:r/>
      <w:bookmarkStart w:id="604" w:name="_Toc164608815"/>
      <w:r/>
      <w:bookmarkStart w:id="605" w:name="_Toc150480784"/>
      <w:r/>
      <w:bookmarkStart w:id="606" w:name="_Toc151193934"/>
      <w:r/>
      <w:bookmarkStart w:id="607" w:name="_Toc149720839"/>
      <w:r>
        <w:rPr>
          <w:rFonts w:hint="eastAsia" w:ascii="宋体" w:hAnsi="宋体" w:eastAsia="宋体" w:cs="宋体"/>
          <w:color w:val="000000"/>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0"/>
          <w:highlight w:val="none"/>
        </w:rPr>
        <w:t xml:space="preserve">磋商小组根据上述供应商排序，依次推荐排序前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highlight w:val="none"/>
        </w:rPr>
      </w:r>
      <w:r/>
    </w:p>
    <w:p>
      <w:pPr>
        <w:pStyle w:val="1094"/>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1094"/>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4"/>
          <w:highlight w:val="none"/>
        </w:rPr>
      </w:r>
      <w:r/>
    </w:p>
    <w:p>
      <w:pPr>
        <w:pStyle w:val="1094"/>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二、评审标准</w:t>
      </w:r>
      <w:r>
        <w:rPr>
          <w:rFonts w:hint="eastAsia" w:ascii="宋体" w:hAnsi="宋体" w:eastAsia="宋体" w:cs="Times New Roman"/>
          <w:b/>
          <w:bCs/>
          <w:color w:val="000000"/>
          <w:sz w:val="28"/>
          <w:szCs w:val="28"/>
          <w:highlight w:val="none"/>
          <w:lang w:val="en-US" w:eastAsia="zh-CN"/>
        </w:rPr>
      </w:r>
      <w:r/>
    </w:p>
    <w:p>
      <w:pPr>
        <w:pStyle w:val="1094"/>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共分2个采购包，供应商可对本次采购的单个采购包或全部采购包进行响应，只能成交一个采购包。响应某一采购包时，必须响应该采购包的全部内容，并在磋商响应文件中注明采购包号。评审顺序依次从包01至包02，在前一采购包作为成交第一候选人的供应商在后续采购包无成交资格。</w:t>
      </w:r>
      <w:r>
        <w:rPr>
          <w:rFonts w:hint="eastAsia" w:ascii="宋体" w:hAnsi="宋体" w:eastAsia="宋体" w:cs="宋体"/>
          <w:color w:val="000000"/>
          <w:sz w:val="24"/>
          <w:szCs w:val="24"/>
          <w:highlight w:val="none"/>
          <w:lang w:val="en-US" w:eastAsia="zh-CN"/>
        </w:rPr>
      </w:r>
      <w:r/>
    </w:p>
    <w:p>
      <w:pPr>
        <w:pStyle w:val="1094"/>
        <w:contextualSpacing/>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01包：</w:t>
      </w:r>
      <w:r>
        <w:rPr>
          <w:rFonts w:ascii="宋体" w:hAnsi="宋体" w:eastAsia="宋体" w:cs="宋体"/>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174"/>
        <w:gridCol w:w="566"/>
        <w:gridCol w:w="6158"/>
      </w:tblGrid>
      <w:tr>
        <w:trPr>
          <w:trHeight w:val="283"/>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评审因素</w:t>
            </w:r>
            <w:r>
              <w:rPr>
                <w:rFonts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分值</w:t>
            </w:r>
            <w:r>
              <w:rPr>
                <w:rFonts w:ascii="宋体" w:hAnsi="宋体" w:cs="宋体"/>
                <w:color w:val="000000"/>
                <w:sz w:val="24"/>
                <w:highlight w:val="none"/>
              </w:rPr>
            </w:r>
            <w:r/>
          </w:p>
        </w:tc>
        <w:tc>
          <w:tcPr>
            <w:tcW w:w="6158"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评分标准</w:t>
            </w:r>
            <w:r>
              <w:rPr>
                <w:rFonts w:ascii="宋体" w:hAnsi="宋体" w:cs="宋体"/>
                <w:color w:val="000000"/>
                <w:sz w:val="24"/>
                <w:highlight w:val="none"/>
              </w:rPr>
            </w:r>
            <w:r/>
          </w:p>
        </w:tc>
      </w:tr>
      <w:tr>
        <w:trPr>
          <w:trHeight w:val="283"/>
        </w:trPr>
        <w:tc>
          <w:tcPr>
            <w:gridSpan w:val="4"/>
            <w:tcW w:w="8522" w:type="dxa"/>
            <w:vAlign w:val="center"/>
            <w:textDirection w:val="lrTb"/>
            <w:noWrap w:val="false"/>
          </w:tcPr>
          <w:p>
            <w:pPr>
              <w:pStyle w:val="1094"/>
              <w:jc w:val="left"/>
              <w:keepLines w:val="0"/>
              <w:keepNext w:val="0"/>
              <w:pageBreakBefore w:val="0"/>
              <w:spacing w:line="360" w:lineRule="auto"/>
              <w:widowControl/>
              <w:tabs>
                <w:tab w:val="left" w:pos="1200" w:leader="none"/>
              </w:tabs>
              <w:rPr>
                <w:rFonts w:ascii="宋体" w:hAnsi="宋体" w:cs="宋体"/>
                <w:b/>
                <w:color w:val="000000"/>
                <w:sz w:val="24"/>
                <w:highlight w:val="none"/>
              </w:rPr>
            </w:pPr>
            <w:r>
              <w:rPr>
                <w:rFonts w:hint="eastAsia" w:ascii="宋体" w:hAnsi="宋体" w:cs="宋体"/>
                <w:b/>
                <w:color w:val="000000"/>
                <w:sz w:val="24"/>
                <w:highlight w:val="none"/>
              </w:rPr>
              <w:t xml:space="preserve">一、报价（</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0分）</w:t>
            </w:r>
            <w:r>
              <w:rPr>
                <w:rFonts w:ascii="宋体" w:hAnsi="宋体" w:cs="宋体"/>
                <w:b/>
                <w:color w:val="000000"/>
                <w:sz w:val="24"/>
                <w:highlight w:val="none"/>
              </w:rPr>
            </w:r>
            <w:r/>
          </w:p>
        </w:tc>
      </w:tr>
      <w:tr>
        <w:trPr>
          <w:trHeight w:val="283"/>
        </w:trPr>
        <w:tc>
          <w:tcPr>
            <w:tcW w:w="624"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报价</w:t>
            </w:r>
            <w:r>
              <w:rPr>
                <w:rFonts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0</w:t>
            </w:r>
            <w:r>
              <w:rPr>
                <w:rFonts w:ascii="宋体" w:hAnsi="宋体" w:cs="宋体"/>
                <w:color w:val="000000"/>
                <w:sz w:val="24"/>
                <w:highlight w:val="none"/>
              </w:rPr>
            </w:r>
            <w:r/>
          </w:p>
        </w:tc>
        <w:tc>
          <w:tcPr>
            <w:tcW w:w="6158" w:type="dxa"/>
            <w:vAlign w:val="center"/>
            <w:textDirection w:val="lrTb"/>
            <w:noWrap w:val="false"/>
          </w:tcPr>
          <w:p>
            <w:pPr>
              <w:pStyle w:val="1094"/>
              <w:jc w:val="left"/>
              <w:keepLines w:val="0"/>
              <w:keepNext w:val="0"/>
              <w:pageBreakBefore w:val="0"/>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cs="宋体"/>
                <w:color w:val="000000"/>
                <w:sz w:val="24"/>
                <w:highlight w:val="none"/>
              </w:rPr>
            </w:r>
            <w:r/>
          </w:p>
          <w:p>
            <w:pPr>
              <w:pStyle w:val="1094"/>
              <w:jc w:val="left"/>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注：此处最终报价指经过报价修正后的最终报价。</w:t>
            </w:r>
            <w:r>
              <w:rPr>
                <w:rFonts w:ascii="宋体" w:hAnsi="宋体" w:cs="宋体"/>
                <w:color w:val="000000"/>
                <w:sz w:val="24"/>
                <w:highlight w:val="none"/>
              </w:rPr>
            </w:r>
            <w:r/>
          </w:p>
        </w:tc>
      </w:tr>
      <w:tr>
        <w:trPr>
          <w:trHeight w:val="283"/>
        </w:trPr>
        <w:tc>
          <w:tcPr>
            <w:gridSpan w:val="4"/>
            <w:tcW w:w="8522" w:type="dxa"/>
            <w:vAlign w:val="center"/>
            <w:textDirection w:val="lrTb"/>
            <w:noWrap w:val="false"/>
          </w:tcPr>
          <w:p>
            <w:pPr>
              <w:pStyle w:val="1094"/>
              <w:jc w:val="left"/>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highlight w:val="none"/>
              </w:rPr>
              <w:t xml:space="preserve">供应商总体评价</w:t>
            </w:r>
            <w:r>
              <w:rPr>
                <w:rFonts w:hint="eastAsia" w:ascii="宋体" w:hAnsi="宋体" w:cs="宋体"/>
                <w:b/>
                <w:bCs/>
                <w:color w:val="000000"/>
                <w:sz w:val="24"/>
                <w:highlight w:val="none"/>
              </w:rPr>
              <w:t xml:space="preserve">（30分）</w:t>
            </w:r>
            <w:r>
              <w:rPr>
                <w:rFonts w:ascii="宋体" w:hAnsi="宋体" w:cs="宋体"/>
                <w:color w:val="000000"/>
                <w:sz w:val="24"/>
                <w:highlight w:val="none"/>
              </w:rPr>
            </w:r>
            <w:r/>
          </w:p>
        </w:tc>
      </w:tr>
      <w:tr>
        <w:trPr>
          <w:trHeight w:val="283"/>
        </w:trPr>
        <w:tc>
          <w:tcPr>
            <w:tcW w:w="624"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256"/>
              <w:keepLines w:val="0"/>
              <w:keepNext w:val="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须提供自2022年1月1日起至投标截止日签订的（以合同签订时间为准）包含水质自动监测设备运行维护、故障处理、备件更换、数据质控等核心内容的服务合同，每提供1份得2分，最高6分。合同内容不要求与本项目完全一致，亦不限定采购主体、资金性质或站点级别。</w:t>
            </w:r>
            <w:r>
              <w:rPr>
                <w:rFonts w:ascii="宋体" w:hAnsi="宋体" w:eastAsia="宋体"/>
                <w:color w:val="000000"/>
                <w:sz w:val="24"/>
                <w:szCs w:val="24"/>
                <w:highlight w:val="none"/>
              </w:rPr>
            </w:r>
            <w:r/>
          </w:p>
          <w:p>
            <w:pPr>
              <w:pStyle w:val="1131"/>
              <w:keepLines w:val="0"/>
              <w:keepNext w:val="0"/>
              <w:pageBreakBefore w:val="0"/>
              <w:spacing w:line="360" w:lineRule="auto"/>
              <w:tabs>
                <w:tab w:val="left" w:pos="567" w:leader="none"/>
              </w:tabs>
              <w:rPr>
                <w:b/>
                <w:bCs/>
                <w:color w:val="000000"/>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中提供合同的原件或复印件,扫描形成的电子文档，并加盖</w:t>
            </w:r>
            <w:r>
              <w:rPr>
                <w:rFonts w:hint="eastAsia" w:ascii="宋体" w:hAnsi="宋体" w:eastAsia="宋体" w:cs="宋体"/>
                <w:b/>
                <w:bCs/>
                <w:color w:val="000000"/>
                <w:sz w:val="24"/>
                <w:szCs w:val="24"/>
                <w:highlight w:val="none"/>
                <w:lang w:val="en-US" w:eastAsia="zh-CN" w:bidi="ar-SA"/>
              </w:rPr>
              <w:t xml:space="preserve">供应商</w:t>
            </w:r>
            <w:r>
              <w:rPr>
                <w:rFonts w:hint="eastAsia" w:ascii="宋体" w:hAnsi="宋体" w:eastAsia="宋体" w:cs="宋体"/>
                <w:b/>
                <w:bCs/>
                <w:color w:val="000000"/>
                <w:sz w:val="24"/>
                <w:szCs w:val="24"/>
                <w:highlight w:val="none"/>
                <w:lang w:val="en-US" w:eastAsia="zh-CN"/>
              </w:rPr>
              <w:t xml:space="preserve">公章，否则不得分。</w:t>
            </w:r>
            <w:r>
              <w:rPr>
                <w:b/>
                <w:bCs/>
                <w:color w:val="000000"/>
                <w:highlight w:val="none"/>
              </w:rPr>
            </w:r>
            <w:r/>
          </w:p>
        </w:tc>
      </w:tr>
      <w:tr>
        <w:trPr>
          <w:trHeight w:val="283"/>
        </w:trPr>
        <w:tc>
          <w:tcPr>
            <w:tcW w:w="624"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体系认证</w:t>
            </w:r>
            <w:r>
              <w:rPr>
                <w:rFonts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131"/>
              <w:keepLines w:val="0"/>
              <w:keepNext w:val="0"/>
              <w:pageBreakBefore w:val="0"/>
              <w:spacing w:line="360" w:lineRule="auto"/>
              <w:tabs>
                <w:tab w:val="left" w:pos="567" w:leader="none"/>
              </w:tabs>
              <w:rPr>
                <w:rFonts w:hint="eastAsia"/>
                <w:b/>
                <w:bCs/>
                <w:color w:val="000000"/>
                <w:highlight w:val="none"/>
              </w:rPr>
            </w:pPr>
            <w:r>
              <w:rPr>
                <w:rFonts w:hint="eastAsia" w:ascii="宋体" w:hAnsi="宋体" w:cs="宋体"/>
                <w:color w:val="000000"/>
                <w:sz w:val="24"/>
                <w:highlight w:val="none"/>
              </w:rPr>
              <w:t xml:space="preserve">供应商具有有效的质量管理体系认证证书、环境管理体系认证证书、职业健康安全管理体系认证证书的，每有1个得1分，最高得3分。</w:t>
            </w:r>
            <w:r>
              <w:rPr>
                <w:rFonts w:hint="eastAsia"/>
                <w:b/>
                <w:bCs/>
                <w:color w:val="000000"/>
                <w:highlight w:val="none"/>
              </w:rPr>
            </w:r>
            <w:r/>
          </w:p>
          <w:p>
            <w:pPr>
              <w:pStyle w:val="1131"/>
              <w:keepLines w:val="0"/>
              <w:keepNext w:val="0"/>
              <w:pageBreakBefore w:val="0"/>
              <w:spacing w:line="360" w:lineRule="auto"/>
              <w:tabs>
                <w:tab w:val="left" w:pos="567" w:leader="none"/>
              </w:tabs>
              <w:rPr>
                <w:rFonts w:hint="eastAsia"/>
                <w:b/>
                <w:bCs/>
                <w:color w:val="000000"/>
                <w:highlight w:val="none"/>
              </w:rPr>
            </w:pPr>
            <w:r>
              <w:rPr>
                <w:rFonts w:hint="eastAsia"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中提供证书的原件或复印件,扫描形成的电子文档，并加盖</w:t>
            </w:r>
            <w:r>
              <w:rPr>
                <w:rFonts w:hint="eastAsia" w:ascii="宋体" w:hAnsi="宋体" w:eastAsia="宋体" w:cs="宋体"/>
                <w:b/>
                <w:bCs/>
                <w:color w:val="000000"/>
                <w:sz w:val="24"/>
                <w:szCs w:val="24"/>
                <w:highlight w:val="none"/>
                <w:lang w:val="en-US" w:eastAsia="zh-CN" w:bidi="ar-SA"/>
              </w:rPr>
              <w:t xml:space="preserve">供应商</w:t>
            </w:r>
            <w:r>
              <w:rPr>
                <w:rFonts w:hint="eastAsia" w:ascii="宋体" w:hAnsi="宋体" w:eastAsia="宋体" w:cs="宋体"/>
                <w:b/>
                <w:bCs/>
                <w:color w:val="000000"/>
                <w:sz w:val="24"/>
                <w:szCs w:val="24"/>
                <w:highlight w:val="none"/>
                <w:lang w:val="en-US" w:eastAsia="zh-CN"/>
              </w:rPr>
              <w:t xml:space="preserve">公章，否则不得分。</w:t>
            </w:r>
            <w:r>
              <w:rPr>
                <w:rFonts w:hint="eastAsia"/>
                <w:b/>
                <w:bCs/>
                <w:color w:val="000000"/>
                <w:highlight w:val="none"/>
              </w:rPr>
            </w:r>
            <w:r/>
          </w:p>
        </w:tc>
      </w:tr>
      <w:tr>
        <w:trPr>
          <w:trHeight w:val="3800"/>
        </w:trPr>
        <w:tc>
          <w:tcPr>
            <w:tcW w:w="624"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机构人员素质及专业配备</w:t>
            </w:r>
            <w:r>
              <w:rPr>
                <w:rFonts w:hint="eastAsia"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094"/>
              <w:jc w:val="left"/>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项目组成员：</w:t>
            </w:r>
            <w:r>
              <w:rPr>
                <w:rFonts w:hint="eastAsia" w:ascii="宋体" w:hAnsi="宋体" w:cs="宋体"/>
                <w:color w:val="000000"/>
                <w:sz w:val="24"/>
                <w:highlight w:val="none"/>
              </w:rPr>
            </w:r>
            <w:r/>
          </w:p>
          <w:p>
            <w:pPr>
              <w:pStyle w:val="1094"/>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项目组成员具有《中国环境监测总站地表水环境</w:t>
            </w:r>
            <w:r>
              <w:rPr>
                <w:rFonts w:hint="eastAsia" w:ascii="宋体" w:hAnsi="宋体" w:cs="宋体"/>
                <w:color w:val="000000"/>
                <w:sz w:val="24"/>
                <w:highlight w:val="none"/>
                <w:lang w:val="en-US" w:eastAsia="zh-CN"/>
              </w:rPr>
              <w:t xml:space="preserve">质量自动</w:t>
            </w:r>
            <w:r>
              <w:rPr>
                <w:rFonts w:hint="eastAsia" w:ascii="宋体" w:hAnsi="宋体" w:cs="宋体"/>
                <w:color w:val="000000"/>
                <w:sz w:val="24"/>
                <w:highlight w:val="none"/>
              </w:rPr>
              <w:t xml:space="preserve">监测技术</w:t>
            </w:r>
            <w:r>
              <w:rPr>
                <w:rFonts w:hint="eastAsia" w:ascii="宋体" w:hAnsi="宋体" w:cs="宋体"/>
                <w:color w:val="000000"/>
                <w:sz w:val="24"/>
                <w:highlight w:val="none"/>
                <w:lang w:val="en-US" w:eastAsia="zh-CN"/>
              </w:rPr>
              <w:t xml:space="preserve">与运维管理</w:t>
            </w:r>
            <w:r>
              <w:rPr>
                <w:rFonts w:hint="eastAsia" w:ascii="宋体" w:hAnsi="宋体" w:cs="宋体"/>
                <w:color w:val="000000"/>
                <w:sz w:val="24"/>
                <w:highlight w:val="none"/>
              </w:rPr>
              <w:t xml:space="preserve">培训合格证</w:t>
            </w:r>
            <w:r>
              <w:rPr>
                <w:rFonts w:hint="eastAsia" w:ascii="宋体" w:hAnsi="宋体" w:cs="宋体"/>
                <w:color w:val="000000"/>
                <w:sz w:val="24"/>
                <w:highlight w:val="none"/>
                <w:lang w:val="en-US" w:eastAsia="zh-CN"/>
              </w:rPr>
              <w:t xml:space="preserve">书</w:t>
            </w:r>
            <w:r>
              <w:rPr>
                <w:rFonts w:hint="eastAsia" w:ascii="宋体" w:hAnsi="宋体" w:cs="宋体"/>
                <w:color w:val="000000"/>
                <w:sz w:val="24"/>
                <w:highlight w:val="none"/>
              </w:rPr>
              <w:t xml:space="preserve">》的，每有1人得2分，最高得4分。</w:t>
            </w:r>
            <w:r>
              <w:rPr>
                <w:rFonts w:hint="eastAsia" w:ascii="宋体" w:hAnsi="宋体" w:cs="宋体"/>
                <w:color w:val="000000"/>
                <w:sz w:val="24"/>
                <w:highlight w:val="none"/>
              </w:rPr>
            </w:r>
            <w:r/>
          </w:p>
          <w:p>
            <w:pPr>
              <w:pStyle w:val="1131"/>
              <w:keepLines w:val="0"/>
              <w:keepNext w:val="0"/>
              <w:pageBreakBefore w:val="0"/>
              <w:spacing w:line="360" w:lineRule="auto"/>
              <w:tabs>
                <w:tab w:val="left" w:pos="567" w:leader="none"/>
              </w:tabs>
              <w:rPr>
                <w:rFonts w:hint="eastAsia"/>
                <w:b/>
                <w:bCs/>
                <w:color w:val="000000"/>
                <w:highlight w:val="none"/>
              </w:rPr>
            </w:pPr>
            <w:r>
              <w:rPr>
                <w:rFonts w:hint="eastAsia" w:ascii="宋体" w:hAnsi="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ascii="宋体" w:hAnsi="宋体" w:cs="宋体"/>
                <w:b/>
                <w:bCs/>
                <w:color w:val="000000"/>
                <w:sz w:val="24"/>
                <w:szCs w:val="24"/>
                <w:highlight w:val="none"/>
              </w:rPr>
              <w:t xml:space="preserve">提供证书及2025年8月至2025年10月中任意一个月供应商为上述人员缴纳的社保证明材料</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中提供相应证明材料的原件或复印件,扫描形成的电子文档，并加盖</w:t>
            </w:r>
            <w:r>
              <w:rPr>
                <w:rFonts w:hint="eastAsia" w:ascii="宋体" w:hAnsi="宋体" w:eastAsia="宋体" w:cs="宋体"/>
                <w:b/>
                <w:bCs/>
                <w:color w:val="000000"/>
                <w:sz w:val="24"/>
                <w:szCs w:val="24"/>
                <w:highlight w:val="none"/>
                <w:lang w:val="en-US" w:eastAsia="zh-CN" w:bidi="ar-SA"/>
              </w:rPr>
              <w:t xml:space="preserve">供应商</w:t>
            </w:r>
            <w:r>
              <w:rPr>
                <w:rFonts w:hint="eastAsia" w:ascii="宋体" w:hAnsi="宋体" w:eastAsia="宋体" w:cs="宋体"/>
                <w:b/>
                <w:bCs/>
                <w:color w:val="000000"/>
                <w:sz w:val="24"/>
                <w:szCs w:val="24"/>
                <w:highlight w:val="none"/>
                <w:lang w:val="en-US" w:eastAsia="zh-CN"/>
              </w:rPr>
              <w:t xml:space="preserve">公章，否则不得分。</w:t>
            </w:r>
            <w:r>
              <w:rPr>
                <w:rFonts w:hint="eastAsia"/>
                <w:b/>
                <w:bCs/>
                <w:color w:val="000000"/>
                <w:highlight w:val="none"/>
              </w:rPr>
            </w:r>
            <w:r/>
          </w:p>
        </w:tc>
      </w:tr>
      <w:tr>
        <w:trPr>
          <w:trHeight w:val="2335"/>
        </w:trPr>
        <w:tc>
          <w:tcPr>
            <w:tcW w:w="624"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74" w:type="dxa"/>
            <w:vAlign w:val="center"/>
            <w:textDirection w:val="lrTb"/>
            <w:noWrap w:val="false"/>
          </w:tcPr>
          <w:p>
            <w:pPr>
              <w:pStyle w:val="1094"/>
              <w:jc w:val="center"/>
              <w:keepLines w:val="0"/>
              <w:keepNext w:val="0"/>
              <w:pageBreakBefore w:val="0"/>
              <w:spacing w:line="360" w:lineRule="auto"/>
              <w:tabs>
                <w:tab w:val="left" w:pos="12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设备配备</w:t>
            </w:r>
            <w:r>
              <w:rPr>
                <w:rFonts w:hint="eastAsia" w:ascii="宋体" w:hAnsi="宋体" w:cs="宋体"/>
                <w:bCs/>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tabs>
                <w:tab w:val="left" w:pos="1200" w:leader="none"/>
              </w:tabs>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17</w:t>
            </w:r>
            <w:r>
              <w:rPr>
                <w:rFonts w:ascii="宋体" w:hAnsi="宋体" w:cs="宋体"/>
                <w:color w:val="000000"/>
                <w:sz w:val="24"/>
                <w:highlight w:val="none"/>
                <w:lang w:val="en-US" w:eastAsia="zh-CN"/>
              </w:rPr>
            </w:r>
            <w:r/>
          </w:p>
        </w:tc>
        <w:tc>
          <w:tcPr>
            <w:tcW w:w="6158" w:type="dxa"/>
            <w:vAlign w:val="center"/>
            <w:textDirection w:val="lrTb"/>
            <w:noWrap w:val="false"/>
          </w:tcPr>
          <w:p>
            <w:pPr>
              <w:pStyle w:val="1131"/>
              <w:keepLines w:val="0"/>
              <w:keepNext w:val="0"/>
              <w:pageBreakBefore w:val="0"/>
              <w:spacing w:line="36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供应商拟为本项目配备自有或租赁的设备：</w:t>
            </w:r>
            <w:r>
              <w:rPr>
                <w:rFonts w:eastAsia="宋体" w:cs="宋体"/>
                <w:color w:val="000000"/>
                <w:highlight w:val="none"/>
                <w:lang w:val="en-US" w:eastAsia="zh-CN"/>
              </w:rPr>
            </w:r>
            <w:r/>
          </w:p>
          <w:p>
            <w:pPr>
              <w:pStyle w:val="1131"/>
              <w:keepLines w:val="0"/>
              <w:keepNext w:val="0"/>
              <w:pageBreakBefore w:val="0"/>
              <w:spacing w:line="360" w:lineRule="auto"/>
              <w:tabs>
                <w:tab w:val="left" w:pos="567" w:leader="none"/>
              </w:tabs>
              <w:rPr>
                <w:rFonts w:cs="宋体"/>
                <w:color w:val="000000"/>
                <w:highlight w:val="none"/>
              </w:rPr>
            </w:pPr>
            <w:r>
              <w:rPr>
                <w:rFonts w:hint="eastAsia" w:cs="宋体"/>
                <w:color w:val="000000"/>
                <w:highlight w:val="none"/>
              </w:rPr>
              <w:t xml:space="preserve">1、供应商自有</w:t>
            </w:r>
            <w:r>
              <w:rPr>
                <w:rFonts w:hint="eastAsia" w:cs="宋体"/>
                <w:color w:val="000000"/>
                <w:highlight w:val="none"/>
                <w:lang w:val="en-US" w:eastAsia="zh-CN"/>
              </w:rPr>
              <w:t xml:space="preserve">或租赁</w:t>
            </w:r>
            <w:r>
              <w:rPr>
                <w:rFonts w:hint="eastAsia" w:cs="宋体"/>
                <w:color w:val="000000"/>
                <w:highlight w:val="none"/>
              </w:rPr>
              <w:t xml:space="preserve">水质应急排查用无人走航监测船</w:t>
            </w:r>
            <w:r>
              <w:rPr>
                <w:rFonts w:hint="eastAsia" w:ascii="宋体" w:hAnsi="宋体" w:eastAsia="宋体" w:cs="宋体"/>
                <w:b w:val="0"/>
                <w:bCs/>
                <w:color w:val="000000"/>
                <w:sz w:val="24"/>
                <w:szCs w:val="24"/>
                <w:highlight w:val="none"/>
                <w:lang w:val="en-US" w:eastAsia="zh-CN"/>
              </w:rPr>
              <w:t xml:space="preserve">≥1艘得</w:t>
            </w:r>
            <w:r>
              <w:rPr>
                <w:rFonts w:hint="eastAsia" w:cs="宋体"/>
                <w:color w:val="000000"/>
                <w:highlight w:val="none"/>
              </w:rPr>
              <w:t xml:space="preserve">得</w:t>
            </w:r>
            <w:r>
              <w:rPr>
                <w:rFonts w:hint="eastAsia" w:cs="宋体"/>
                <w:color w:val="000000"/>
                <w:highlight w:val="none"/>
                <w:lang w:val="en-US" w:eastAsia="zh-CN"/>
              </w:rPr>
              <w:t xml:space="preserve">4</w:t>
            </w:r>
            <w:r>
              <w:rPr>
                <w:rFonts w:hint="eastAsia" w:cs="宋体"/>
                <w:color w:val="000000"/>
                <w:highlight w:val="none"/>
              </w:rPr>
              <w:t xml:space="preserve">分。</w:t>
            </w:r>
            <w:r>
              <w:rPr>
                <w:rFonts w:cs="宋体"/>
                <w:color w:val="000000"/>
                <w:highlight w:val="none"/>
              </w:rPr>
            </w:r>
            <w:r/>
          </w:p>
          <w:p>
            <w:pPr>
              <w:pStyle w:val="1094"/>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注：磋商</w:t>
            </w:r>
            <w:r>
              <w:rPr>
                <w:rFonts w:hint="eastAsia" w:ascii="宋体" w:hAnsi="宋体" w:cs="宋体"/>
                <w:b/>
                <w:bCs/>
                <w:color w:val="000000"/>
                <w:sz w:val="24"/>
                <w:highlight w:val="none"/>
                <w:lang w:val="en-US" w:eastAsia="zh-CN"/>
              </w:rPr>
              <w:t xml:space="preserve">响应</w:t>
            </w:r>
            <w:r>
              <w:rPr>
                <w:rFonts w:hint="eastAsia" w:ascii="宋体" w:hAnsi="宋体" w:cs="宋体"/>
                <w:b/>
                <w:bCs/>
                <w:color w:val="000000"/>
                <w:sz w:val="24"/>
                <w:highlight w:val="none"/>
              </w:rPr>
              <w:t xml:space="preserve">文件中提供购买合同或租赁合同，及发票并</w:t>
            </w:r>
            <w:r>
              <w:rPr>
                <w:rFonts w:hint="eastAsia" w:ascii="宋体" w:hAnsi="宋体" w:cs="宋体"/>
                <w:b/>
                <w:bCs/>
                <w:color w:val="000000"/>
                <w:sz w:val="24"/>
                <w:highlight w:val="none"/>
              </w:rPr>
            </w:r>
            <w:r/>
          </w:p>
          <w:p>
            <w:pPr>
              <w:pStyle w:val="1094"/>
              <w:keepLines w:val="0"/>
              <w:keepNext w:val="0"/>
              <w:pageBreakBefore w:val="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加盖供应商公章，否则不得分。</w:t>
            </w:r>
            <w:r>
              <w:rPr>
                <w:rFonts w:hint="eastAsia" w:ascii="宋体" w:hAnsi="宋体" w:cs="宋体"/>
                <w:color w:val="000000"/>
                <w:sz w:val="24"/>
                <w:highlight w:val="none"/>
              </w:rPr>
            </w:r>
            <w:r/>
          </w:p>
          <w:p>
            <w:pPr>
              <w:pStyle w:val="1094"/>
              <w:keepLines w:val="0"/>
              <w:keepNext w:val="0"/>
              <w:pageBreakBefore w:val="0"/>
              <w:spacing w:line="360" w:lineRule="auto"/>
              <w:rPr>
                <w:color w:val="000000"/>
                <w:highlight w:val="none"/>
              </w:rPr>
            </w:pPr>
            <w:r>
              <w:rPr>
                <w:rFonts w:hint="eastAsia" w:ascii="宋体" w:hAnsi="宋体" w:cs="宋体"/>
                <w:color w:val="000000"/>
                <w:sz w:val="24"/>
                <w:highlight w:val="none"/>
              </w:rPr>
              <w:t xml:space="preserve">2、供应商</w:t>
            </w:r>
            <w:r>
              <w:rPr>
                <w:rFonts w:hint="eastAsia" w:cs="宋体"/>
                <w:color w:val="000000"/>
                <w:sz w:val="24"/>
                <w:highlight w:val="none"/>
              </w:rPr>
              <w:t xml:space="preserve">自</w:t>
            </w:r>
            <w:r>
              <w:rPr>
                <w:rFonts w:hint="eastAsia" w:ascii="宋体" w:hAnsi="宋体" w:cs="宋体"/>
                <w:color w:val="000000"/>
                <w:sz w:val="24"/>
                <w:highlight w:val="none"/>
              </w:rPr>
              <w:t xml:space="preserve">有</w:t>
            </w:r>
            <w:r>
              <w:rPr>
                <w:rFonts w:hint="eastAsia" w:cs="宋体"/>
                <w:color w:val="000000"/>
                <w:highlight w:val="none"/>
                <w:lang w:val="en-US" w:eastAsia="zh-CN"/>
              </w:rPr>
              <w:t xml:space="preserve">或租赁</w:t>
            </w:r>
            <w:r>
              <w:rPr>
                <w:rFonts w:hint="eastAsia" w:ascii="宋体" w:hAnsi="宋体" w:cs="宋体"/>
                <w:color w:val="000000"/>
                <w:sz w:val="24"/>
                <w:highlight w:val="none"/>
              </w:rPr>
              <w:t xml:space="preserve">便携式五参数检测仪</w:t>
            </w:r>
            <w:r>
              <w:rPr>
                <w:rFonts w:hint="eastAsia" w:ascii="宋体" w:hAnsi="宋体" w:eastAsia="宋体" w:cs="宋体"/>
                <w:b w:val="0"/>
                <w:bCs/>
                <w:color w:val="000000"/>
                <w:sz w:val="24"/>
                <w:szCs w:val="24"/>
                <w:highlight w:val="none"/>
                <w:lang w:val="en-US" w:eastAsia="zh-CN"/>
              </w:rPr>
              <w:t xml:space="preserve">≥1台的</w:t>
            </w:r>
            <w:r>
              <w:rPr>
                <w:rFonts w:hint="eastAsia" w:ascii="宋体" w:hAnsi="宋体" w:cs="宋体"/>
                <w:color w:val="000000"/>
                <w:sz w:val="24"/>
                <w:highlight w:val="none"/>
              </w:rPr>
              <w:t xml:space="preserve">得3分。</w:t>
            </w:r>
            <w:r>
              <w:rPr>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注：磋商响应文件中提供购买合同或租赁合同，及发票并</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color w:val="000000"/>
                <w:highlight w:val="none"/>
              </w:rPr>
            </w:pPr>
            <w:r>
              <w:rPr>
                <w:rFonts w:hint="eastAsia" w:cs="宋体"/>
                <w:b/>
                <w:bCs/>
                <w:color w:val="000000"/>
                <w:highlight w:val="none"/>
              </w:rPr>
              <w:t xml:space="preserve">加盖供应商公章，否则不得分。</w:t>
            </w:r>
            <w:r>
              <w:rPr>
                <w:rFonts w:hint="eastAsia" w:cs="宋体"/>
                <w:color w:val="000000"/>
                <w:highlight w:val="none"/>
              </w:rPr>
            </w:r>
            <w:r/>
          </w:p>
          <w:p>
            <w:pPr>
              <w:pStyle w:val="1131"/>
              <w:keepLines w:val="0"/>
              <w:keepNext w:val="0"/>
              <w:pageBreakBefore w:val="0"/>
              <w:spacing w:line="360" w:lineRule="auto"/>
              <w:tabs>
                <w:tab w:val="left" w:pos="567" w:leader="none"/>
              </w:tabs>
              <w:rPr>
                <w:rFonts w:cs="宋体"/>
                <w:b/>
                <w:bCs/>
                <w:color w:val="000000"/>
                <w:highlight w:val="none"/>
              </w:rPr>
            </w:pPr>
            <w:r>
              <w:rPr>
                <w:rFonts w:hint="eastAsia" w:cs="宋体"/>
                <w:color w:val="000000"/>
                <w:highlight w:val="none"/>
              </w:rPr>
              <w:t xml:space="preserve">3、供应商自有</w:t>
            </w:r>
            <w:r>
              <w:rPr>
                <w:rFonts w:hint="eastAsia" w:cs="宋体"/>
                <w:color w:val="000000"/>
                <w:highlight w:val="none"/>
                <w:lang w:val="en-US" w:eastAsia="zh-CN"/>
              </w:rPr>
              <w:t xml:space="preserve">或租赁</w:t>
            </w:r>
            <w:r>
              <w:rPr>
                <w:rFonts w:hint="eastAsia" w:cs="宋体"/>
                <w:color w:val="000000"/>
                <w:highlight w:val="none"/>
              </w:rPr>
              <w:t xml:space="preserve">运维保障车</w:t>
            </w:r>
            <w:r>
              <w:rPr>
                <w:rFonts w:hint="eastAsia" w:cs="宋体"/>
                <w:color w:val="000000"/>
                <w:highlight w:val="none"/>
                <w:lang w:val="en-US" w:eastAsia="zh-CN"/>
              </w:rPr>
              <w:t xml:space="preserve">的，</w:t>
            </w:r>
            <w:r>
              <w:rPr>
                <w:rFonts w:hint="eastAsia" w:cs="宋体"/>
                <w:color w:val="000000"/>
                <w:highlight w:val="none"/>
              </w:rPr>
              <w:t xml:space="preserve">有一辆得</w:t>
            </w:r>
            <w:r>
              <w:rPr>
                <w:rFonts w:hint="eastAsia" w:cs="宋体"/>
                <w:color w:val="000000"/>
                <w:highlight w:val="none"/>
                <w:lang w:val="en-US" w:eastAsia="zh-CN"/>
              </w:rPr>
              <w:t xml:space="preserve">1</w:t>
            </w:r>
            <w:r>
              <w:rPr>
                <w:rFonts w:hint="eastAsia" w:cs="宋体"/>
                <w:color w:val="000000"/>
                <w:highlight w:val="none"/>
              </w:rPr>
              <w:t xml:space="preserve">分，最高得10分。</w:t>
            </w:r>
            <w:r>
              <w:rPr>
                <w:rFonts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注：（1）车辆若为自有，</w:t>
            </w:r>
            <w:r>
              <w:rPr>
                <w:rFonts w:hint="eastAsia" w:cs="宋体"/>
                <w:b/>
                <w:bCs/>
                <w:color w:val="000000"/>
                <w:highlight w:val="none"/>
                <w:lang w:eastAsia="zh-CN"/>
              </w:rPr>
              <w:t xml:space="preserve">磋商响应文件</w:t>
            </w:r>
            <w:r>
              <w:rPr>
                <w:rFonts w:hint="eastAsia" w:cs="宋体"/>
                <w:b/>
                <w:bCs/>
                <w:color w:val="000000"/>
                <w:highlight w:val="none"/>
              </w:rPr>
              <w:t xml:space="preserve">中提供车辆照片</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及购买发票及车辆行驶证作为证明材料</w:t>
            </w:r>
            <w:r>
              <w:rPr>
                <w:rFonts w:hint="eastAsia" w:cs="宋体"/>
                <w:b/>
                <w:bCs/>
                <w:color w:val="000000"/>
                <w:highlight w:val="none"/>
                <w:lang w:eastAsia="zh-CN"/>
              </w:rPr>
              <w:t xml:space="preserve">，</w:t>
            </w:r>
            <w:r>
              <w:rPr>
                <w:rFonts w:hint="eastAsia" w:cs="宋体"/>
                <w:b/>
                <w:bCs/>
                <w:color w:val="000000"/>
                <w:highlight w:val="none"/>
              </w:rPr>
              <w:t xml:space="preserve">磋商响应文件中</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提供证明材料的原件或复印件，扫描形成的电子文档，并</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加盖供应商公章，否则不得分。</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（2）车辆若为租赁，磋商响应文件中提供车辆照片及租</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赁合同作为证明材料。磋商响应文件中</w:t>
            </w:r>
            <w:r>
              <w:rPr>
                <w:rFonts w:hint="eastAsia" w:cs="宋体"/>
                <w:b/>
                <w:bCs/>
                <w:color w:val="000000"/>
                <w:highlight w:val="none"/>
                <w:lang w:val="en-US" w:eastAsia="zh-CN"/>
              </w:rPr>
              <w:t xml:space="preserve">证明材料</w:t>
            </w:r>
            <w:r>
              <w:rPr>
                <w:rFonts w:hint="eastAsia" w:cs="宋体"/>
                <w:b/>
                <w:bCs/>
                <w:color w:val="000000"/>
                <w:highlight w:val="none"/>
              </w:rPr>
              <w:t xml:space="preserve">的原件或复印件，扫描形成的电子文档，并加盖供应商公章，</w:t>
            </w:r>
            <w:r>
              <w:rPr>
                <w:rFonts w:hint="eastAsia" w:cs="宋体"/>
                <w:b/>
                <w:bCs/>
                <w:color w:val="000000"/>
                <w:highlight w:val="none"/>
              </w:rPr>
            </w:r>
            <w:r/>
          </w:p>
          <w:p>
            <w:pPr>
              <w:pStyle w:val="1131"/>
              <w:keepLines w:val="0"/>
              <w:keepNext w:val="0"/>
              <w:pageBreakBefore w:val="0"/>
              <w:spacing w:line="360" w:lineRule="auto"/>
              <w:tabs>
                <w:tab w:val="left" w:pos="567" w:leader="none"/>
              </w:tabs>
              <w:rPr>
                <w:rFonts w:hint="eastAsia" w:ascii="宋体" w:hAnsi="宋体" w:cs="宋体"/>
                <w:b/>
                <w:bCs/>
                <w:color w:val="000000"/>
                <w:sz w:val="24"/>
                <w:szCs w:val="24"/>
                <w:highlight w:val="none"/>
              </w:rPr>
            </w:pPr>
            <w:r>
              <w:rPr>
                <w:rFonts w:hint="eastAsia" w:cs="宋体"/>
                <w:b/>
                <w:bCs/>
                <w:color w:val="000000"/>
                <w:highlight w:val="none"/>
              </w:rPr>
              <w:t xml:space="preserve">否则不得分。</w:t>
            </w:r>
            <w:r>
              <w:rPr>
                <w:rFonts w:hint="eastAsia" w:ascii="宋体" w:hAnsi="宋体" w:cs="宋体"/>
                <w:b/>
                <w:bCs/>
                <w:color w:val="000000"/>
                <w:sz w:val="24"/>
                <w:szCs w:val="24"/>
                <w:highlight w:val="none"/>
              </w:rPr>
            </w:r>
            <w:r/>
          </w:p>
        </w:tc>
      </w:tr>
      <w:tr>
        <w:trPr>
          <w:trHeight w:val="283"/>
        </w:trPr>
        <w:tc>
          <w:tcPr>
            <w:gridSpan w:val="4"/>
            <w:tcW w:w="8522" w:type="dxa"/>
            <w:vAlign w:val="center"/>
            <w:textDirection w:val="lrTb"/>
            <w:noWrap w:val="false"/>
          </w:tcPr>
          <w:p>
            <w:pPr>
              <w:pStyle w:val="1094"/>
              <w:jc w:val="left"/>
              <w:keepLines w:val="0"/>
              <w:keepNext w:val="0"/>
              <w:pageBreakBefore w:val="0"/>
              <w:spacing w:line="360" w:lineRule="auto"/>
              <w:widowControl/>
              <w:tabs>
                <w:tab w:val="left" w:pos="12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三、技术方案（60分）</w:t>
            </w:r>
            <w:r>
              <w:rPr>
                <w:rFonts w:ascii="宋体" w:hAnsi="宋体" w:cs="宋体"/>
                <w:b/>
                <w:bCs/>
                <w:color w:val="000000"/>
                <w:sz w:val="24"/>
                <w:highlight w:val="none"/>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 1</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在线监测仪器运行维护实施方案</w:t>
            </w:r>
            <w:r>
              <w:rPr>
                <w:rFonts w:ascii="宋体" w:hAnsi="宋体" w:eastAsia="宋体" w:cs="宋体"/>
                <w:color w:val="000000"/>
                <w:sz w:val="24"/>
                <w:highlight w:val="none"/>
                <w:lang w:val="en-US" w:eastAsia="zh-CN"/>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磋商小组根据供应商拟制的</w:t>
            </w:r>
            <w:r>
              <w:rPr>
                <w:rFonts w:hint="eastAsia" w:ascii="宋体" w:hAnsi="宋体" w:cs="宋体"/>
                <w:color w:val="000000"/>
                <w:sz w:val="24"/>
                <w:highlight w:val="none"/>
                <w:lang w:val="en-US" w:eastAsia="zh-CN"/>
              </w:rPr>
              <w:t xml:space="preserve">在线监测仪器运行维护实施方案</w:t>
            </w:r>
            <w:r>
              <w:rPr>
                <w:rFonts w:hint="eastAsia" w:ascii="宋体" w:hAnsi="宋体" w:cs="宋体"/>
                <w:color w:val="000000"/>
                <w:sz w:val="24"/>
                <w:highlight w:val="none"/>
                <w:lang w:val="en-US" w:eastAsia="zh-CN"/>
              </w:rPr>
              <w:t xml:space="preserve">（明确维护方法、周期、内容和技术保障）</w:t>
            </w:r>
            <w:r>
              <w:rPr>
                <w:rFonts w:hint="eastAsia" w:hAnsi="宋体" w:cs="宋体"/>
                <w:color w:val="000000"/>
                <w:sz w:val="24"/>
                <w:highlight w:val="none"/>
                <w:lang w:val="en-US" w:eastAsia="zh-CN"/>
              </w:rPr>
              <w:t xml:space="preserve">进行综合</w:t>
            </w:r>
            <w:r>
              <w:rPr>
                <w:rFonts w:hint="eastAsia" w:ascii="宋体" w:hAnsi="宋体" w:cs="宋体"/>
                <w:color w:val="000000"/>
                <w:sz w:val="24"/>
                <w:highlight w:val="none"/>
                <w:lang w:val="en-US" w:eastAsia="zh-CN"/>
              </w:rPr>
              <w:t xml:space="preserve">评审，方案完整，能完全满足项目实施要求，得10分;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未提供本项不得分。</w:t>
            </w:r>
            <w:r>
              <w:rPr>
                <w:rFonts w:ascii="宋体" w:hAnsi="宋体" w:cs="宋体"/>
                <w:color w:val="000000"/>
                <w:sz w:val="24"/>
                <w:highlight w:val="none"/>
                <w:lang w:val="en-US" w:eastAsia="zh-CN"/>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rPr>
                <w:rStyle w:val="1361"/>
                <w:rFonts w:hint="eastAsia" w:ascii="宋体" w:hAnsi="宋体"/>
                <w:color w:val="000000"/>
                <w:sz w:val="24"/>
                <w:highlight w:val="none"/>
              </w:rPr>
            </w:pPr>
            <w:r>
              <w:rPr>
                <w:rFonts w:hint="eastAsia" w:ascii="宋体" w:hAnsi="宋体" w:cs="宋体"/>
                <w:color w:val="000000"/>
                <w:sz w:val="24"/>
                <w:highlight w:val="none"/>
              </w:rPr>
              <w:t xml:space="preserve">质量进度方案</w:t>
            </w:r>
            <w:r>
              <w:rPr>
                <w:rStyle w:val="1361"/>
                <w:rFonts w:hint="eastAsia" w:ascii="宋体" w:hAnsi="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磋商小组根据供应商拟制的</w:t>
            </w:r>
            <w:r>
              <w:rPr>
                <w:rFonts w:hint="eastAsia" w:ascii="宋体" w:hAnsi="宋体" w:cs="宋体"/>
                <w:color w:val="000000"/>
                <w:sz w:val="24"/>
                <w:highlight w:val="none"/>
              </w:rPr>
              <w:t xml:space="preserve">质量进度方案</w:t>
            </w:r>
            <w:r>
              <w:rPr>
                <w:rFonts w:hint="eastAsia" w:ascii="宋体" w:hAnsi="宋体" w:cs="宋体"/>
                <w:color w:val="000000"/>
                <w:sz w:val="24"/>
                <w:highlight w:val="none"/>
              </w:rPr>
              <w:t xml:space="preserve">进行综合评审，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widowControl/>
              <w:tabs>
                <w:tab w:val="left" w:pos="1200" w:leader="none"/>
              </w:tabs>
              <w:rPr>
                <w:rStyle w:val="1361"/>
                <w:rFonts w:hint="eastAsia" w:ascii="宋体" w:hAnsi="宋体"/>
                <w:color w:val="000000"/>
                <w:sz w:val="24"/>
                <w:highlight w:val="none"/>
              </w:rPr>
            </w:pPr>
            <w:r>
              <w:rPr>
                <w:rFonts w:hint="eastAsia" w:ascii="宋体" w:hAnsi="宋体" w:cs="宋体"/>
                <w:color w:val="000000"/>
                <w:sz w:val="24"/>
                <w:highlight w:val="none"/>
              </w:rPr>
              <w:t xml:space="preserve">人员配备方案</w:t>
            </w:r>
            <w:r>
              <w:rPr>
                <w:rStyle w:val="1361"/>
                <w:rFonts w:hint="eastAsia" w:ascii="宋体" w:hAnsi="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磋商小组根据供应商拟制的</w:t>
            </w:r>
            <w:r>
              <w:rPr>
                <w:rFonts w:hint="eastAsia" w:ascii="宋体" w:hAnsi="宋体" w:cs="宋体"/>
                <w:color w:val="000000"/>
                <w:sz w:val="24"/>
                <w:highlight w:val="none"/>
              </w:rPr>
              <w:t xml:space="preserve">人员配备方案</w:t>
            </w:r>
            <w:r>
              <w:rPr>
                <w:rFonts w:hint="eastAsia" w:ascii="宋体" w:hAnsi="宋体" w:cs="宋体"/>
                <w:color w:val="000000"/>
                <w:sz w:val="24"/>
                <w:highlight w:val="none"/>
                <w:lang w:val="en-US" w:eastAsia="zh-CN"/>
              </w:rPr>
              <w:t xml:space="preserve">进行综合评审，方案完整，能完全满足项目实施要求，得10分;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lang w:val="en-US" w:eastAsia="zh-CN"/>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rPr>
                <w:rStyle w:val="1361"/>
                <w:rFonts w:hint="eastAsia" w:ascii="宋体" w:hAnsi="宋体"/>
                <w:color w:val="000000"/>
                <w:sz w:val="24"/>
                <w:highlight w:val="none"/>
              </w:rPr>
            </w:pPr>
            <w:r>
              <w:rPr>
                <w:rStyle w:val="1361"/>
                <w:rFonts w:ascii="宋体" w:hAnsi="宋体"/>
                <w:color w:val="000000"/>
                <w:sz w:val="24"/>
                <w:highlight w:val="none"/>
              </w:rPr>
              <w:t xml:space="preserve">应急预案</w:t>
            </w:r>
            <w:r>
              <w:rPr>
                <w:rStyle w:val="1361"/>
                <w:rFonts w:hint="eastAsia" w:ascii="宋体" w:hAnsi="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磋商小组根据</w:t>
            </w:r>
            <w:r>
              <w:rPr>
                <w:rFonts w:hint="eastAsia" w:hAnsi="宋体" w:cs="宋体"/>
                <w:color w:val="000000"/>
                <w:sz w:val="24"/>
                <w:highlight w:val="none"/>
              </w:rPr>
              <w:t xml:space="preserve">供应商针</w:t>
            </w:r>
            <w:r>
              <w:rPr>
                <w:rFonts w:hint="eastAsia" w:ascii="宋体" w:hAnsi="宋体" w:cs="宋体"/>
                <w:color w:val="000000"/>
                <w:sz w:val="24"/>
                <w:highlight w:val="none"/>
              </w:rPr>
              <w:t xml:space="preserve">对</w:t>
            </w:r>
            <w:r>
              <w:rPr>
                <w:rFonts w:hint="eastAsia" w:hAnsi="宋体" w:cs="宋体"/>
                <w:color w:val="000000"/>
                <w:sz w:val="24"/>
                <w:highlight w:val="none"/>
              </w:rPr>
              <w:t xml:space="preserve">本项目</w:t>
            </w:r>
            <w:r>
              <w:rPr>
                <w:rFonts w:hint="eastAsia" w:ascii="宋体" w:hAnsi="宋体" w:cs="宋体"/>
                <w:color w:val="000000"/>
                <w:sz w:val="24"/>
                <w:highlight w:val="none"/>
              </w:rPr>
              <w:t xml:space="preserve">拟定的</w:t>
            </w:r>
            <w:r>
              <w:rPr>
                <w:rStyle w:val="1361"/>
                <w:rFonts w:ascii="宋体" w:hAnsi="宋体"/>
                <w:color w:val="000000"/>
                <w:sz w:val="24"/>
                <w:highlight w:val="none"/>
              </w:rPr>
              <w:t xml:space="preserve">应急预案</w:t>
            </w:r>
            <w:r>
              <w:rPr>
                <w:rStyle w:val="1361"/>
                <w:rFonts w:hint="eastAsia" w:ascii="宋体" w:hAnsi="宋体"/>
                <w:color w:val="000000"/>
                <w:sz w:val="24"/>
                <w:highlight w:val="none"/>
              </w:rPr>
              <w:t xml:space="preserve">（</w:t>
            </w:r>
            <w:r>
              <w:rPr>
                <w:rStyle w:val="1361"/>
                <w:rFonts w:hint="eastAsia" w:ascii="宋体" w:hAnsi="宋体"/>
                <w:color w:val="000000"/>
                <w:sz w:val="24"/>
                <w:highlight w:val="none"/>
                <w:lang w:val="en-US"/>
              </w:rPr>
              <w:t xml:space="preserve">明确响应时间</w:t>
            </w:r>
            <w:r>
              <w:rPr>
                <w:rStyle w:val="1361"/>
                <w:rFonts w:hint="eastAsia" w:ascii="宋体" w:hAnsi="宋体"/>
                <w:color w:val="000000"/>
                <w:sz w:val="24"/>
                <w:highlight w:val="none"/>
              </w:rPr>
              <w:t xml:space="preserve">）</w:t>
            </w:r>
            <w:r>
              <w:rPr>
                <w:rFonts w:hint="eastAsia" w:hAnsi="宋体" w:cs="宋体"/>
                <w:color w:val="000000"/>
                <w:sz w:val="24"/>
                <w:highlight w:val="none"/>
              </w:rPr>
              <w:t xml:space="preserve">进行综合</w:t>
            </w:r>
            <w:r>
              <w:rPr>
                <w:rFonts w:hint="eastAsia" w:ascii="宋体" w:hAnsi="宋体" w:cs="宋体"/>
                <w:color w:val="000000"/>
                <w:sz w:val="24"/>
                <w:highlight w:val="none"/>
              </w:rPr>
              <w:t xml:space="preserve">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Style w:val="1361"/>
                <w:rFonts w:ascii="宋体" w:hAnsi="宋体"/>
                <w:color w:val="000000"/>
                <w:sz w:val="24"/>
                <w:highlight w:val="none"/>
              </w:rPr>
              <w:t xml:space="preserve">合理化建议</w:t>
            </w:r>
            <w:r>
              <w:rPr>
                <w:rFonts w:hint="eastAsia" w:ascii="宋体" w:hAnsi="宋体" w:cs="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供应商根据本项目制定的合理化建议进行综合评审，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jc w:val="left"/>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r>
        <w:trPr>
          <w:trHeight w:val="180"/>
        </w:trPr>
        <w:tc>
          <w:tcPr>
            <w:tcW w:w="624"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74" w:type="dxa"/>
            <w:vAlign w:val="center"/>
            <w:textDirection w:val="lrTb"/>
            <w:noWrap w:val="false"/>
          </w:tcPr>
          <w:p>
            <w:pPr>
              <w:pStyle w:val="1094"/>
              <w:jc w:val="center"/>
              <w:keepLines w:val="0"/>
              <w:keepNext w:val="0"/>
              <w:pageBreakBefore w:val="0"/>
              <w:spacing w:line="360" w:lineRule="auto"/>
              <w:widowControl/>
              <w:tabs>
                <w:tab w:val="left" w:pos="1200" w:leader="none"/>
              </w:tabs>
              <w:rPr>
                <w:rStyle w:val="1361"/>
                <w:rFonts w:ascii="宋体" w:hAnsi="宋体"/>
                <w:color w:val="000000"/>
                <w:sz w:val="24"/>
                <w:highlight w:val="none"/>
              </w:rPr>
            </w:pPr>
            <w:r>
              <w:rPr>
                <w:rStyle w:val="1361"/>
                <w:rFonts w:ascii="宋体" w:hAnsi="宋体"/>
                <w:color w:val="000000"/>
                <w:sz w:val="24"/>
                <w:highlight w:val="none"/>
              </w:rPr>
              <w:t xml:space="preserve">后续服务</w:t>
            </w:r>
            <w:r>
              <w:rPr>
                <w:rStyle w:val="1361"/>
                <w:rFonts w:ascii="宋体" w:hAnsi="宋体"/>
                <w:color w:val="000000"/>
                <w:sz w:val="24"/>
                <w:highlight w:val="none"/>
              </w:rPr>
            </w:r>
            <w:r/>
          </w:p>
        </w:tc>
        <w:tc>
          <w:tcPr>
            <w:tcW w:w="566" w:type="dxa"/>
            <w:vAlign w:val="center"/>
            <w:textDirection w:val="lrTb"/>
            <w:noWrap w:val="false"/>
          </w:tcPr>
          <w:p>
            <w:pPr>
              <w:pStyle w:val="1094"/>
              <w:jc w:val="center"/>
              <w:keepLines w:val="0"/>
              <w:keepNext w:val="0"/>
              <w:pageBreakBefore w:val="0"/>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磋商小组根据供应商拟制的后续服务内容</w:t>
            </w:r>
            <w:r>
              <w:rPr>
                <w:rFonts w:hint="eastAsia" w:hAnsi="宋体" w:cs="宋体"/>
                <w:color w:val="000000"/>
                <w:sz w:val="24"/>
                <w:highlight w:val="none"/>
              </w:rPr>
              <w:t xml:space="preserve">进行综合</w:t>
            </w:r>
            <w:r>
              <w:rPr>
                <w:rFonts w:hint="eastAsia" w:ascii="宋体" w:hAnsi="宋体" w:cs="宋体"/>
                <w:color w:val="000000"/>
                <w:sz w:val="24"/>
                <w:highlight w:val="none"/>
              </w:rPr>
              <w:t xml:space="preserve">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jc w:val="left"/>
              <w:keepLines w:val="0"/>
              <w:keepNext w:val="0"/>
              <w:pageBreakBefore w:val="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bl>
    <w:p>
      <w:pPr>
        <w:pStyle w:val="1094"/>
        <w:contextualSpacing/>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02包：</w:t>
      </w:r>
      <w:r>
        <w:rPr>
          <w:rFonts w:ascii="宋体" w:hAnsi="宋体" w:eastAsia="宋体" w:cs="宋体"/>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174"/>
        <w:gridCol w:w="566"/>
        <w:gridCol w:w="6158"/>
      </w:tblGrid>
      <w:tr>
        <w:trPr>
          <w:trHeight w:val="283"/>
        </w:trPr>
        <w:tc>
          <w:tcPr>
            <w:tcW w:w="624"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174"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评审因素</w:t>
            </w:r>
            <w:r>
              <w:rPr>
                <w:rFonts w:ascii="宋体" w:hAnsi="宋体" w:cs="宋体"/>
                <w:color w:val="000000"/>
                <w:sz w:val="24"/>
                <w:highlight w:val="none"/>
              </w:rPr>
            </w:r>
            <w:r/>
          </w:p>
        </w:tc>
        <w:tc>
          <w:tcPr>
            <w:tcW w:w="566"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分值</w:t>
            </w:r>
            <w:r>
              <w:rPr>
                <w:rFonts w:ascii="宋体" w:hAnsi="宋体" w:cs="宋体"/>
                <w:color w:val="000000"/>
                <w:sz w:val="24"/>
                <w:highlight w:val="none"/>
              </w:rPr>
            </w:r>
            <w:r/>
          </w:p>
        </w:tc>
        <w:tc>
          <w:tcPr>
            <w:tcW w:w="6158"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评分标准</w:t>
            </w:r>
            <w:r>
              <w:rPr>
                <w:rFonts w:ascii="宋体" w:hAnsi="宋体" w:cs="宋体"/>
                <w:color w:val="000000"/>
                <w:sz w:val="24"/>
                <w:highlight w:val="none"/>
              </w:rPr>
            </w:r>
            <w:r/>
          </w:p>
        </w:tc>
      </w:tr>
      <w:tr>
        <w:trPr>
          <w:trHeight w:val="283"/>
        </w:trPr>
        <w:tc>
          <w:tcPr>
            <w:gridSpan w:val="4"/>
            <w:tcW w:w="8522" w:type="dxa"/>
            <w:vAlign w:val="center"/>
            <w:textDirection w:val="lrTb"/>
            <w:noWrap w:val="false"/>
          </w:tcPr>
          <w:p>
            <w:pPr>
              <w:pStyle w:val="1094"/>
              <w:jc w:val="left"/>
              <w:spacing w:line="360" w:lineRule="auto"/>
              <w:widowControl/>
              <w:tabs>
                <w:tab w:val="left" w:pos="1200" w:leader="none"/>
              </w:tabs>
              <w:rPr>
                <w:rFonts w:ascii="宋体" w:hAnsi="宋体" w:cs="宋体"/>
                <w:b/>
                <w:color w:val="000000"/>
                <w:sz w:val="24"/>
                <w:highlight w:val="none"/>
              </w:rPr>
            </w:pPr>
            <w:r>
              <w:rPr>
                <w:rFonts w:hint="eastAsia" w:ascii="宋体" w:hAnsi="宋体" w:cs="宋体"/>
                <w:b/>
                <w:color w:val="000000"/>
                <w:sz w:val="24"/>
                <w:highlight w:val="none"/>
              </w:rPr>
              <w:t xml:space="preserve">一、报价（1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分）</w:t>
            </w:r>
            <w:r>
              <w:rPr>
                <w:rFonts w:ascii="宋体" w:hAnsi="宋体" w:cs="宋体"/>
                <w:b/>
                <w:color w:val="000000"/>
                <w:sz w:val="24"/>
                <w:highlight w:val="none"/>
              </w:rPr>
            </w:r>
            <w:r/>
          </w:p>
        </w:tc>
      </w:tr>
      <w:tr>
        <w:trPr>
          <w:trHeight w:val="283"/>
        </w:trPr>
        <w:tc>
          <w:tcPr>
            <w:tcW w:w="624"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174"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报价</w:t>
            </w:r>
            <w:r>
              <w:rPr>
                <w:rFonts w:ascii="宋体" w:hAnsi="宋体" w:cs="宋体"/>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094"/>
              <w:jc w:val="left"/>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cs="宋体"/>
                <w:color w:val="000000"/>
                <w:sz w:val="24"/>
                <w:highlight w:val="none"/>
              </w:rPr>
            </w:r>
            <w:r/>
          </w:p>
          <w:p>
            <w:pPr>
              <w:pStyle w:val="1094"/>
              <w:jc w:val="left"/>
              <w:spacing w:line="360" w:lineRule="auto"/>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注：此处最终报价指经过报价修正后的最终报价。</w:t>
            </w:r>
            <w:r>
              <w:rPr>
                <w:rFonts w:ascii="宋体" w:hAnsi="宋体" w:cs="宋体"/>
                <w:color w:val="000000"/>
                <w:sz w:val="24"/>
                <w:highlight w:val="none"/>
              </w:rPr>
            </w:r>
            <w:r/>
          </w:p>
        </w:tc>
      </w:tr>
      <w:tr>
        <w:trPr>
          <w:trHeight w:val="283"/>
        </w:trPr>
        <w:tc>
          <w:tcPr>
            <w:gridSpan w:val="4"/>
            <w:tcW w:w="8522" w:type="dxa"/>
            <w:vAlign w:val="center"/>
            <w:textDirection w:val="lrTb"/>
            <w:noWrap w:val="false"/>
          </w:tcPr>
          <w:p>
            <w:pPr>
              <w:pStyle w:val="1094"/>
              <w:jc w:val="left"/>
              <w:spacing w:line="360" w:lineRule="auto"/>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highlight w:val="none"/>
              </w:rPr>
              <w:t xml:space="preserve">供应商总体评价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0分）</w:t>
            </w:r>
            <w:r>
              <w:rPr>
                <w:rFonts w:ascii="宋体" w:hAnsi="宋体" w:cs="宋体"/>
                <w:color w:val="000000"/>
                <w:sz w:val="24"/>
                <w:highlight w:val="none"/>
              </w:rPr>
            </w:r>
            <w:r/>
          </w:p>
        </w:tc>
      </w:tr>
      <w:tr>
        <w:trPr>
          <w:trHeight w:val="283"/>
        </w:trPr>
        <w:tc>
          <w:tcPr>
            <w:tcW w:w="624" w:type="dxa"/>
            <w:vAlign w:val="center"/>
            <w:textDirection w:val="lrTb"/>
            <w:noWrap w:val="false"/>
          </w:tcPr>
          <w:p>
            <w:pPr>
              <w:pStyle w:val="1094"/>
              <w:jc w:val="center"/>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74" w:type="dxa"/>
            <w:vAlign w:val="center"/>
            <w:textDirection w:val="lrTb"/>
            <w:noWrap w:val="false"/>
          </w:tcPr>
          <w:p>
            <w:pPr>
              <w:pStyle w:val="1094"/>
              <w:jc w:val="center"/>
              <w:spacing w:line="360" w:lineRule="auto"/>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25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须提供自2022年1月1日起至投标截止日签订的（以合同签订时间为准）空气自动站维保合同，合同内容须包含SO2、NO2、CO、O3、PM10、PM2.5中至少四项指标的自动监测设备运维服务，每提供1份有效业绩证明得2分，最高得10 分。</w:t>
            </w:r>
            <w:r>
              <w:rPr>
                <w:rFonts w:ascii="宋体" w:hAnsi="宋体" w:eastAsia="宋体"/>
                <w:color w:val="000000"/>
                <w:sz w:val="24"/>
                <w:szCs w:val="24"/>
                <w:highlight w:val="none"/>
              </w:rPr>
            </w:r>
            <w:r/>
          </w:p>
          <w:p>
            <w:pPr>
              <w:pStyle w:val="1131"/>
              <w:spacing w:line="360" w:lineRule="auto"/>
              <w:tabs>
                <w:tab w:val="left" w:pos="567" w:leader="none"/>
              </w:tabs>
              <w:rPr>
                <w:b/>
                <w:bCs/>
                <w:color w:val="000000"/>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中提供合同的原件或复印件,扫描形成的电子文档，并加盖</w:t>
            </w:r>
            <w:r>
              <w:rPr>
                <w:rFonts w:hint="eastAsia" w:ascii="宋体" w:hAnsi="宋体" w:eastAsia="宋体" w:cs="宋体"/>
                <w:b/>
                <w:bCs/>
                <w:color w:val="000000"/>
                <w:sz w:val="24"/>
                <w:szCs w:val="24"/>
                <w:highlight w:val="none"/>
                <w:lang w:val="en-US" w:eastAsia="zh-CN" w:bidi="ar-SA"/>
              </w:rPr>
              <w:t xml:space="preserve">供应商</w:t>
            </w:r>
            <w:r>
              <w:rPr>
                <w:rFonts w:hint="eastAsia" w:ascii="宋体" w:hAnsi="宋体" w:eastAsia="宋体" w:cs="宋体"/>
                <w:b/>
                <w:bCs/>
                <w:color w:val="000000"/>
                <w:sz w:val="24"/>
                <w:szCs w:val="24"/>
                <w:highlight w:val="none"/>
                <w:lang w:val="en-US" w:eastAsia="zh-CN"/>
              </w:rPr>
              <w:t xml:space="preserve">公章，否则不得分。</w:t>
            </w:r>
            <w:r>
              <w:rPr>
                <w:b/>
                <w:bCs/>
                <w:color w:val="000000"/>
                <w:highlight w:val="none"/>
              </w:rPr>
            </w:r>
            <w:r/>
          </w:p>
        </w:tc>
      </w:tr>
      <w:tr>
        <w:trPr>
          <w:trHeight w:val="283"/>
        </w:trPr>
        <w:tc>
          <w:tcPr>
            <w:tcW w:w="624"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174"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保障能力</w:t>
            </w:r>
            <w:r>
              <w:rPr>
                <w:rFonts w:ascii="宋体" w:hAnsi="宋体" w:cs="宋体"/>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6158" w:type="dxa"/>
            <w:vAlign w:val="center"/>
            <w:textDirection w:val="lrTb"/>
            <w:noWrap w:val="false"/>
          </w:tcPr>
          <w:p>
            <w:pPr>
              <w:pStyle w:val="1131"/>
              <w:spacing w:line="360" w:lineRule="auto"/>
              <w:tabs>
                <w:tab w:val="left" w:pos="567" w:leader="none"/>
              </w:tabs>
              <w:rPr>
                <w:rFonts w:hint="eastAsia"/>
                <w:b/>
                <w:bCs/>
                <w:color w:val="000000"/>
                <w:highlight w:val="none"/>
              </w:rPr>
            </w:pPr>
            <w:r>
              <w:rPr>
                <w:rFonts w:hint="eastAsia"/>
                <w:color w:val="000000"/>
                <w:highlight w:val="none"/>
              </w:rPr>
              <w:t xml:space="preserve">供应商承诺：如</w:t>
            </w:r>
            <w:r>
              <w:rPr>
                <w:rFonts w:hint="eastAsia"/>
                <w:color w:val="000000"/>
                <w:highlight w:val="none"/>
                <w:lang w:val="en-US" w:eastAsia="zh-CN"/>
              </w:rPr>
              <w:t xml:space="preserve">成交</w:t>
            </w:r>
            <w:r>
              <w:rPr>
                <w:rFonts w:hint="eastAsia"/>
                <w:color w:val="000000"/>
                <w:highlight w:val="none"/>
              </w:rPr>
              <w:t xml:space="preserve">，能确保所运维设备（无论品牌）获得原生产厂商的技术支持与备件供应，并提供相关合作证明或服务协议（如与原厂或区域服务商的协作协议）的得5分。</w:t>
            </w:r>
            <w:r>
              <w:rPr>
                <w:rFonts w:hint="eastAsia"/>
                <w:b/>
                <w:bCs/>
                <w:color w:val="000000"/>
                <w:highlight w:val="none"/>
              </w:rPr>
            </w:r>
            <w:r/>
          </w:p>
          <w:p>
            <w:pPr>
              <w:pStyle w:val="1131"/>
              <w:spacing w:line="360" w:lineRule="auto"/>
              <w:tabs>
                <w:tab w:val="left" w:pos="567" w:leader="none"/>
              </w:tabs>
              <w:rPr>
                <w:rFonts w:hint="eastAsia"/>
                <w:b/>
                <w:bCs/>
                <w:color w:val="000000"/>
                <w:highlight w:val="none"/>
              </w:rPr>
            </w:pPr>
            <w:r>
              <w:rPr>
                <w:rFonts w:hint="eastAsia"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中提供承诺函原件或复印件,扫描形成的电子文档，并加盖</w:t>
            </w:r>
            <w:r>
              <w:rPr>
                <w:rFonts w:hint="eastAsia" w:ascii="宋体" w:hAnsi="宋体" w:eastAsia="宋体" w:cs="宋体"/>
                <w:b/>
                <w:bCs/>
                <w:color w:val="000000"/>
                <w:sz w:val="24"/>
                <w:szCs w:val="24"/>
                <w:highlight w:val="none"/>
                <w:lang w:val="en-US" w:eastAsia="zh-CN" w:bidi="ar-SA"/>
              </w:rPr>
              <w:t xml:space="preserve">供应商</w:t>
            </w:r>
            <w:r>
              <w:rPr>
                <w:rFonts w:hint="eastAsia" w:ascii="宋体" w:hAnsi="宋体" w:eastAsia="宋体" w:cs="宋体"/>
                <w:b/>
                <w:bCs/>
                <w:color w:val="000000"/>
                <w:sz w:val="24"/>
                <w:szCs w:val="24"/>
                <w:highlight w:val="none"/>
                <w:lang w:val="en-US" w:eastAsia="zh-CN"/>
              </w:rPr>
              <w:t xml:space="preserve">公章，否则不得分。</w:t>
            </w:r>
            <w:r>
              <w:rPr>
                <w:rFonts w:hint="eastAsia"/>
                <w:b/>
                <w:bCs/>
                <w:color w:val="000000"/>
                <w:highlight w:val="none"/>
              </w:rPr>
            </w:r>
            <w:r/>
          </w:p>
        </w:tc>
      </w:tr>
      <w:tr>
        <w:trPr>
          <w:trHeight w:val="3800"/>
        </w:trPr>
        <w:tc>
          <w:tcPr>
            <w:tcW w:w="624" w:type="dxa"/>
            <w:vAlign w:val="center"/>
            <w:textDirection w:val="lrTb"/>
            <w:noWrap w:val="false"/>
          </w:tcPr>
          <w:p>
            <w:pPr>
              <w:pStyle w:val="1094"/>
              <w:jc w:val="center"/>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174" w:type="dxa"/>
            <w:vAlign w:val="center"/>
            <w:textDirection w:val="lrTb"/>
            <w:noWrap w:val="false"/>
          </w:tcPr>
          <w:p>
            <w:pPr>
              <w:pStyle w:val="1094"/>
              <w:jc w:val="center"/>
              <w:spacing w:line="360" w:lineRule="auto"/>
              <w:tabs>
                <w:tab w:val="left" w:pos="12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机构人员素质及专业配备</w:t>
            </w:r>
            <w:r>
              <w:rPr>
                <w:rFonts w:hint="eastAsia" w:ascii="宋体" w:hAnsi="宋体" w:cs="宋体"/>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6158" w:type="dxa"/>
            <w:vAlign w:val="center"/>
            <w:textDirection w:val="lrTb"/>
            <w:noWrap w:val="false"/>
          </w:tcPr>
          <w:p>
            <w:pPr>
              <w:pStyle w:val="1094"/>
              <w:jc w:val="left"/>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项目组成员：</w:t>
            </w:r>
            <w:r>
              <w:rPr>
                <w:rFonts w:hint="eastAsia" w:ascii="宋体" w:hAnsi="宋体" w:cs="宋体"/>
                <w:color w:val="000000"/>
                <w:sz w:val="24"/>
                <w:highlight w:val="none"/>
              </w:rPr>
            </w:r>
            <w:r/>
          </w:p>
          <w:p>
            <w:pPr>
              <w:pStyle w:val="109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项目组成员持有中国环境监测总站颁发的《环境空气质量自动监测运维与质控技术培训合格证书》的，每提供1人得2分，最高得6分。</w:t>
            </w:r>
            <w:r>
              <w:rPr>
                <w:rFonts w:hint="eastAsia" w:ascii="宋体" w:hAnsi="宋体" w:cs="宋体"/>
                <w:color w:val="000000"/>
                <w:sz w:val="24"/>
                <w:highlight w:val="none"/>
              </w:rPr>
            </w:r>
            <w:r/>
          </w:p>
          <w:p>
            <w:pPr>
              <w:pStyle w:val="109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本项目需频繁跨区域站点巡检，运维人员必须自驾前往，且无公共交通覆盖。供应商提供车辆行驶证及驾驶员名单（含驾照）的，得3分。</w:t>
            </w:r>
            <w:r>
              <w:rPr>
                <w:rFonts w:hint="eastAsia" w:ascii="宋体" w:hAnsi="宋体" w:cs="宋体"/>
                <w:color w:val="000000"/>
                <w:sz w:val="24"/>
                <w:highlight w:val="none"/>
              </w:rPr>
            </w:r>
            <w:r/>
          </w:p>
          <w:p>
            <w:pPr>
              <w:pStyle w:val="1094"/>
              <w:spacing w:line="360" w:lineRule="auto"/>
              <w:widowControl/>
              <w:rPr>
                <w:rFonts w:hint="eastAsia"/>
                <w:b/>
                <w:bCs/>
                <w:color w:val="000000"/>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highlight w:val="none"/>
              </w:rPr>
              <w:t xml:space="preserve">提供证书、车辆行驶证及驾驶员名单（含驾照），及2025年8月至2025年10月中任意一个月供应商为上述人员缴纳的社保证明材料加盖供应商公章，否则不得分。</w:t>
            </w:r>
            <w:r>
              <w:rPr>
                <w:rFonts w:hint="eastAsia"/>
                <w:b/>
                <w:bCs/>
                <w:color w:val="000000"/>
                <w:highlight w:val="none"/>
              </w:rPr>
            </w:r>
            <w:r/>
          </w:p>
        </w:tc>
      </w:tr>
      <w:tr>
        <w:trPr>
          <w:trHeight w:val="2260"/>
        </w:trPr>
        <w:tc>
          <w:tcPr>
            <w:tcW w:w="624" w:type="dxa"/>
            <w:vAlign w:val="center"/>
            <w:textDirection w:val="lrTb"/>
            <w:noWrap w:val="false"/>
          </w:tcPr>
          <w:p>
            <w:pPr>
              <w:pStyle w:val="1094"/>
              <w:jc w:val="center"/>
              <w:spacing w:line="360" w:lineRule="auto"/>
              <w:tabs>
                <w:tab w:val="left" w:pos="120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74" w:type="dxa"/>
            <w:vAlign w:val="center"/>
            <w:textDirection w:val="lrTb"/>
            <w:noWrap w:val="false"/>
          </w:tcPr>
          <w:p>
            <w:pPr>
              <w:pStyle w:val="1094"/>
              <w:jc w:val="center"/>
              <w:spacing w:line="360" w:lineRule="auto"/>
              <w:tabs>
                <w:tab w:val="left" w:pos="12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设备配备</w:t>
            </w:r>
            <w:r>
              <w:rPr>
                <w:rFonts w:hint="eastAsia" w:ascii="宋体" w:hAnsi="宋体" w:cs="宋体"/>
                <w:bCs/>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lang w:val="en-US" w:eastAsia="zh-CN"/>
              </w:rPr>
            </w:r>
            <w:r/>
          </w:p>
        </w:tc>
        <w:tc>
          <w:tcPr>
            <w:tcW w:w="6158" w:type="dxa"/>
            <w:vAlign w:val="center"/>
            <w:textDirection w:val="lrTb"/>
            <w:noWrap w:val="false"/>
          </w:tcPr>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供应商拟为本项目配备自有或租赁的设备：</w:t>
            </w:r>
            <w:r>
              <w:rPr>
                <w:rFonts w:hint="eastAsia" w:cs="宋体"/>
                <w:color w:val="000000"/>
                <w:highlight w:val="none"/>
                <w:lang w:val="en-US" w:eastAsia="zh-CN"/>
              </w:rPr>
            </w:r>
            <w:r/>
          </w:p>
          <w:p>
            <w:pPr>
              <w:pStyle w:val="1131"/>
              <w:numPr>
                <w:ilvl w:val="0"/>
                <w:numId w:val="0"/>
              </w:numPr>
              <w:spacing w:line="360" w:lineRule="auto"/>
              <w:tabs>
                <w:tab w:val="left" w:pos="567" w:leader="none"/>
              </w:tabs>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1.具有</w:t>
            </w:r>
            <w:r>
              <w:rPr>
                <w:rFonts w:hint="eastAsia" w:ascii="宋体" w:hAnsi="宋体" w:cs="宋体"/>
                <w:b w:val="0"/>
                <w:bCs w:val="0"/>
                <w:color w:val="000000"/>
                <w:sz w:val="24"/>
                <w:szCs w:val="24"/>
                <w:highlight w:val="none"/>
              </w:rPr>
              <w:t xml:space="preserve">大流量计、小流量计、温湿度计、气压表，以上设备每有一个得2分，</w:t>
            </w:r>
            <w:r>
              <w:rPr>
                <w:rFonts w:hint="eastAsia" w:ascii="宋体" w:hAnsi="宋体" w:cs="宋体"/>
                <w:b w:val="0"/>
                <w:bCs w:val="0"/>
                <w:color w:val="000000"/>
                <w:sz w:val="24"/>
                <w:szCs w:val="24"/>
                <w:highlight w:val="none"/>
                <w:lang w:val="en-US" w:eastAsia="zh-CN"/>
              </w:rPr>
              <w:t xml:space="preserve">最高得</w:t>
            </w:r>
            <w:r>
              <w:rPr>
                <w:rFonts w:hint="eastAsia" w:ascii="宋体" w:hAnsi="宋体" w:cs="宋体"/>
                <w:b w:val="0"/>
                <w:bCs w:val="0"/>
                <w:color w:val="000000"/>
                <w:sz w:val="24"/>
                <w:szCs w:val="24"/>
                <w:highlight w:val="none"/>
              </w:rPr>
              <w:t xml:space="preserve">8分。</w:t>
            </w:r>
            <w:r>
              <w:rPr>
                <w:rFonts w:hint="eastAsia" w:ascii="宋体" w:hAnsi="宋体" w:cs="宋体"/>
                <w:b w:val="0"/>
                <w:bCs w:val="0"/>
                <w:color w:val="000000"/>
                <w:sz w:val="24"/>
                <w:szCs w:val="24"/>
                <w:highlight w:val="none"/>
              </w:rPr>
            </w:r>
            <w:r/>
          </w:p>
          <w:p>
            <w:pPr>
              <w:pStyle w:val="1131"/>
              <w:numPr>
                <w:ilvl w:val="0"/>
                <w:numId w:val="0"/>
              </w:numPr>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注：</w:t>
            </w:r>
            <w:r>
              <w:rPr>
                <w:rFonts w:hint="eastAsia" w:cs="宋体"/>
                <w:b/>
                <w:bCs/>
                <w:color w:val="000000"/>
                <w:highlight w:val="none"/>
                <w:lang w:val="en-US" w:eastAsia="zh-CN"/>
              </w:rPr>
              <w:t xml:space="preserve">自有的：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提供购买合同及发票</w:t>
            </w:r>
            <w:r>
              <w:rPr>
                <w:rFonts w:hint="eastAsia" w:cs="宋体"/>
                <w:b/>
                <w:bCs/>
                <w:color w:val="000000"/>
                <w:highlight w:val="none"/>
                <w:lang w:val="en-US" w:eastAsia="zh-CN"/>
              </w:rPr>
              <w:t xml:space="preserve">及供应商送检的在有效期内的计量检定报告</w:t>
            </w:r>
            <w:r>
              <w:rPr>
                <w:rFonts w:hint="eastAsia" w:cs="宋体"/>
                <w:b/>
                <w:bCs/>
                <w:color w:val="000000"/>
                <w:highlight w:val="none"/>
              </w:rPr>
              <w:t xml:space="preserve">加盖供应商公章，否则不得分。</w:t>
            </w:r>
            <w:r>
              <w:rPr>
                <w:rFonts w:hint="eastAsia" w:cs="宋体"/>
                <w:b/>
                <w:bCs/>
                <w:color w:val="000000"/>
                <w:highlight w:val="none"/>
              </w:rPr>
            </w:r>
            <w:r/>
          </w:p>
          <w:p>
            <w:pPr>
              <w:pStyle w:val="1131"/>
              <w:numPr>
                <w:ilvl w:val="0"/>
                <w:numId w:val="0"/>
              </w:numPr>
              <w:spacing w:line="360" w:lineRule="auto"/>
              <w:tabs>
                <w:tab w:val="left" w:pos="567" w:leader="none"/>
              </w:tabs>
              <w:rPr>
                <w:rFonts w:eastAsia="宋体" w:cs="宋体"/>
                <w:b/>
                <w:bCs/>
                <w:color w:val="000000"/>
                <w:highlight w:val="none"/>
                <w:lang w:val="en-US" w:eastAsia="zh-CN"/>
              </w:rPr>
            </w:pPr>
            <w:r>
              <w:rPr>
                <w:rFonts w:hint="eastAsia" w:cs="宋体"/>
                <w:b/>
                <w:bCs/>
                <w:color w:val="000000"/>
                <w:highlight w:val="none"/>
                <w:lang w:val="en-US" w:eastAsia="zh-CN"/>
              </w:rPr>
              <w:t xml:space="preserve">租赁的：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w:t>
            </w:r>
            <w:r>
              <w:rPr>
                <w:rFonts w:hint="eastAsia" w:cs="宋体"/>
                <w:b/>
                <w:bCs/>
                <w:color w:val="000000"/>
                <w:highlight w:val="none"/>
                <w:lang w:val="en-US" w:eastAsia="zh-CN"/>
              </w:rPr>
              <w:t xml:space="preserve">租赁合同，及供应商送检的在有效期内的计量检定报告</w:t>
            </w:r>
            <w:r>
              <w:rPr>
                <w:rFonts w:hint="eastAsia" w:cs="宋体"/>
                <w:b/>
                <w:bCs/>
                <w:color w:val="000000"/>
                <w:highlight w:val="none"/>
              </w:rPr>
              <w:t xml:space="preserve">加盖供应商公章，否则不得分。</w:t>
            </w:r>
            <w:r>
              <w:rPr>
                <w:rFonts w:eastAsia="宋体" w:cs="宋体"/>
                <w:b/>
                <w:bCs/>
                <w:color w:val="000000"/>
                <w:highlight w:val="none"/>
                <w:lang w:val="en-US" w:eastAsia="zh-CN"/>
              </w:rPr>
            </w:r>
            <w:r/>
          </w:p>
          <w:p>
            <w:pPr>
              <w:pStyle w:val="1131"/>
              <w:numPr>
                <w:ilvl w:val="0"/>
                <w:numId w:val="0"/>
              </w:numPr>
              <w:spacing w:line="360" w:lineRule="auto"/>
              <w:tabs>
                <w:tab w:val="left" w:pos="567" w:leader="none"/>
              </w:tabs>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具有</w:t>
            </w:r>
            <w:r>
              <w:rPr>
                <w:rFonts w:hint="eastAsia" w:ascii="宋体" w:hAnsi="宋体" w:cs="宋体"/>
                <w:b w:val="0"/>
                <w:bCs w:val="0"/>
                <w:color w:val="000000"/>
                <w:sz w:val="24"/>
                <w:szCs w:val="24"/>
                <w:highlight w:val="none"/>
                <w:lang w:val="en-US" w:eastAsia="zh-CN"/>
              </w:rPr>
              <w:t xml:space="preserve">便携式PM2.5分析仪≥1台的得2分。</w:t>
            </w:r>
            <w:r>
              <w:rPr>
                <w:rFonts w:hint="eastAsia" w:ascii="宋体" w:hAnsi="宋体" w:cs="宋体"/>
                <w:b w:val="0"/>
                <w:bCs w:val="0"/>
                <w:color w:val="000000"/>
                <w:sz w:val="24"/>
                <w:szCs w:val="24"/>
                <w:highlight w:val="none"/>
                <w:lang w:val="en-US" w:eastAsia="zh-CN"/>
              </w:rPr>
            </w:r>
            <w:r/>
          </w:p>
          <w:p>
            <w:pPr>
              <w:pStyle w:val="1131"/>
              <w:numPr>
                <w:ilvl w:val="0"/>
                <w:numId w:val="0"/>
              </w:numPr>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注：</w:t>
            </w:r>
            <w:r>
              <w:rPr>
                <w:rFonts w:hint="eastAsia" w:cs="宋体"/>
                <w:b/>
                <w:bCs/>
                <w:color w:val="000000"/>
                <w:highlight w:val="none"/>
                <w:lang w:val="en-US" w:eastAsia="zh-CN"/>
              </w:rPr>
              <w:t xml:space="preserve">自有的：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提供购买合同及发票</w:t>
            </w:r>
            <w:r>
              <w:rPr>
                <w:rFonts w:hint="eastAsia" w:cs="宋体"/>
                <w:b/>
                <w:bCs/>
                <w:color w:val="000000"/>
                <w:highlight w:val="none"/>
                <w:lang w:val="en-US" w:eastAsia="zh-CN"/>
              </w:rPr>
              <w:t xml:space="preserve">及设备彩页</w:t>
            </w:r>
            <w:r>
              <w:rPr>
                <w:rFonts w:hint="eastAsia" w:cs="宋体"/>
                <w:b/>
                <w:bCs/>
                <w:color w:val="000000"/>
                <w:highlight w:val="none"/>
              </w:rPr>
              <w:t xml:space="preserve">加盖供应商公章，否则不得分。</w:t>
            </w:r>
            <w:r>
              <w:rPr>
                <w:rFonts w:hint="eastAsia" w:cs="宋体"/>
                <w:b/>
                <w:bCs/>
                <w:color w:val="000000"/>
                <w:highlight w:val="none"/>
              </w:rPr>
            </w:r>
            <w:r/>
          </w:p>
          <w:p>
            <w:pPr>
              <w:pStyle w:val="1131"/>
              <w:numPr>
                <w:ilvl w:val="0"/>
                <w:numId w:val="0"/>
              </w:numPr>
              <w:spacing w:line="360" w:lineRule="auto"/>
              <w:tabs>
                <w:tab w:val="left" w:pos="567" w:leader="none"/>
              </w:tabs>
              <w:rPr>
                <w:rFonts w:hint="eastAsia" w:cs="宋体"/>
                <w:b/>
                <w:bCs/>
                <w:color w:val="000000"/>
                <w:highlight w:val="none"/>
              </w:rPr>
            </w:pPr>
            <w:r>
              <w:rPr>
                <w:rFonts w:hint="eastAsia" w:cs="宋体"/>
                <w:b/>
                <w:bCs/>
                <w:color w:val="000000"/>
                <w:highlight w:val="none"/>
                <w:lang w:val="en-US" w:eastAsia="zh-CN"/>
              </w:rPr>
              <w:t xml:space="preserve">租赁的：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w:t>
            </w:r>
            <w:r>
              <w:rPr>
                <w:rFonts w:hint="eastAsia" w:cs="宋体"/>
                <w:b/>
                <w:bCs/>
                <w:color w:val="000000"/>
                <w:highlight w:val="none"/>
                <w:lang w:val="en-US" w:eastAsia="zh-CN"/>
              </w:rPr>
              <w:t xml:space="preserve">租赁合同及设备彩页</w:t>
            </w:r>
            <w:r>
              <w:rPr>
                <w:rFonts w:hint="eastAsia" w:cs="宋体"/>
                <w:b/>
                <w:bCs/>
                <w:color w:val="000000"/>
                <w:highlight w:val="none"/>
              </w:rPr>
              <w:t xml:space="preserve">加盖供应商公章，否则不得分。</w:t>
            </w:r>
            <w:r>
              <w:rPr>
                <w:rFonts w:hint="eastAsia" w:cs="宋体"/>
                <w:b/>
                <w:bCs/>
                <w:color w:val="000000"/>
                <w:highlight w:val="none"/>
              </w:rPr>
            </w:r>
            <w:r/>
          </w:p>
          <w:p>
            <w:pPr>
              <w:pStyle w:val="1131"/>
              <w:numPr>
                <w:ilvl w:val="0"/>
                <w:numId w:val="0"/>
              </w:numPr>
              <w:spacing w:line="360" w:lineRule="auto"/>
              <w:tabs>
                <w:tab w:val="left" w:pos="567" w:leader="none"/>
              </w:tabs>
              <w:rPr>
                <w:rFonts w:ascii="宋体" w:hAnsi="宋体" w:eastAsia="宋体" w:cs="宋体"/>
                <w:b/>
                <w:bCs/>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具有便携式臭氧分析仪（紫外吸收法）≥1台的得2分。</w:t>
            </w:r>
            <w:r>
              <w:rPr>
                <w:rFonts w:ascii="宋体" w:hAnsi="宋体" w:eastAsia="宋体" w:cs="宋体"/>
                <w:b/>
                <w:bCs/>
                <w:color w:val="000000"/>
                <w:sz w:val="24"/>
                <w:szCs w:val="24"/>
                <w:highlight w:val="none"/>
                <w:lang w:val="en-US" w:eastAsia="zh-CN"/>
              </w:rPr>
            </w:r>
            <w:r/>
          </w:p>
          <w:p>
            <w:pPr>
              <w:pStyle w:val="1131"/>
              <w:spacing w:line="360" w:lineRule="auto"/>
              <w:tabs>
                <w:tab w:val="left" w:pos="567" w:leader="none"/>
              </w:tabs>
              <w:rPr>
                <w:rFonts w:hint="eastAsia" w:cs="宋体"/>
                <w:b/>
                <w:bCs/>
                <w:color w:val="000000"/>
                <w:highlight w:val="none"/>
              </w:rPr>
            </w:pPr>
            <w:r>
              <w:rPr>
                <w:rFonts w:hint="eastAsia" w:cs="宋体"/>
                <w:b/>
                <w:bCs/>
                <w:color w:val="000000"/>
                <w:highlight w:val="none"/>
              </w:rPr>
              <w:t xml:space="preserve">注：</w:t>
            </w:r>
            <w:r>
              <w:rPr>
                <w:rFonts w:hint="eastAsia" w:cs="宋体"/>
                <w:b/>
                <w:bCs/>
                <w:color w:val="000000"/>
                <w:highlight w:val="none"/>
                <w:lang w:val="en-US" w:eastAsia="zh-CN"/>
              </w:rPr>
              <w:t xml:space="preserve">自有的：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提供购买合同及发票</w:t>
            </w:r>
            <w:r>
              <w:rPr>
                <w:rFonts w:hint="eastAsia" w:cs="宋体"/>
                <w:b/>
                <w:bCs/>
                <w:color w:val="000000"/>
                <w:highlight w:val="none"/>
                <w:lang w:val="en-US" w:eastAsia="zh-CN"/>
              </w:rPr>
              <w:t xml:space="preserve">及证明设备为紫外吸收法的设备彩页</w:t>
            </w:r>
            <w:r>
              <w:rPr>
                <w:rFonts w:hint="eastAsia" w:cs="宋体"/>
                <w:b/>
                <w:bCs/>
                <w:color w:val="000000"/>
                <w:highlight w:val="none"/>
              </w:rPr>
              <w:t xml:space="preserve">加盖供应商公章，否则不得分。</w:t>
            </w:r>
            <w:r>
              <w:rPr>
                <w:rFonts w:hint="eastAsia" w:cs="宋体"/>
                <w:b/>
                <w:bCs/>
                <w:color w:val="000000"/>
                <w:highlight w:val="none"/>
              </w:rPr>
            </w:r>
            <w:r/>
          </w:p>
          <w:p>
            <w:pPr>
              <w:pStyle w:val="1131"/>
              <w:spacing w:line="360" w:lineRule="auto"/>
              <w:tabs>
                <w:tab w:val="left" w:pos="567" w:leader="none"/>
              </w:tabs>
              <w:rPr>
                <w:rFonts w:eastAsia="宋体" w:cs="宋体"/>
                <w:b/>
                <w:bCs/>
                <w:color w:val="000000"/>
                <w:highlight w:val="none"/>
                <w:lang w:val="en-US" w:eastAsia="zh-CN"/>
              </w:rPr>
            </w:pPr>
            <w:r>
              <w:rPr>
                <w:rFonts w:hint="eastAsia" w:cs="宋体"/>
                <w:b/>
                <w:bCs/>
                <w:color w:val="000000"/>
                <w:highlight w:val="none"/>
                <w:lang w:val="en-US" w:eastAsia="zh-CN"/>
              </w:rPr>
              <w:t xml:space="preserve">租赁的：</w:t>
            </w:r>
            <w:r>
              <w:rPr>
                <w:rFonts w:hint="eastAsia" w:ascii="宋体" w:hAnsi="宋体" w:eastAsia="宋体" w:cs="宋体"/>
                <w:b/>
                <w:bCs/>
                <w:color w:val="000000"/>
                <w:sz w:val="24"/>
                <w:szCs w:val="24"/>
                <w:highlight w:val="none"/>
                <w:lang w:val="en-US" w:eastAsia="zh-CN" w:bidi="ar-SA"/>
              </w:rPr>
              <w:t xml:space="preserve">磋商响应文件</w:t>
            </w:r>
            <w:r>
              <w:rPr>
                <w:rFonts w:hint="eastAsia" w:ascii="宋体" w:hAnsi="宋体" w:eastAsia="宋体" w:cs="宋体"/>
                <w:b/>
                <w:bCs/>
                <w:color w:val="000000"/>
                <w:sz w:val="24"/>
                <w:szCs w:val="24"/>
                <w:highlight w:val="none"/>
                <w:lang w:val="en-US" w:eastAsia="zh-CN"/>
              </w:rPr>
              <w:t xml:space="preserve">中</w:t>
            </w:r>
            <w:r>
              <w:rPr>
                <w:rFonts w:hint="eastAsia" w:cs="宋体"/>
                <w:b/>
                <w:bCs/>
                <w:color w:val="000000"/>
                <w:highlight w:val="none"/>
              </w:rPr>
              <w:t xml:space="preserve">提供</w:t>
            </w:r>
            <w:r>
              <w:rPr>
                <w:rFonts w:hint="eastAsia" w:cs="宋体"/>
                <w:b/>
                <w:bCs/>
                <w:color w:val="000000"/>
                <w:highlight w:val="none"/>
                <w:lang w:val="en-US" w:eastAsia="zh-CN"/>
              </w:rPr>
              <w:t xml:space="preserve">租赁合同及证明设备为紫外吸收法的设备彩页</w:t>
            </w:r>
            <w:r>
              <w:rPr>
                <w:rFonts w:hint="eastAsia" w:cs="宋体"/>
                <w:b/>
                <w:bCs/>
                <w:color w:val="000000"/>
                <w:highlight w:val="none"/>
              </w:rPr>
              <w:t xml:space="preserve">加盖供应商公章，否则不得分。</w:t>
            </w:r>
            <w:r>
              <w:rPr>
                <w:rFonts w:eastAsia="宋体" w:cs="宋体"/>
                <w:b/>
                <w:bCs/>
                <w:color w:val="000000"/>
                <w:highlight w:val="none"/>
                <w:lang w:val="en-US" w:eastAsia="zh-CN"/>
              </w:rPr>
            </w:r>
            <w:r/>
          </w:p>
        </w:tc>
      </w:tr>
      <w:tr>
        <w:trPr>
          <w:trHeight w:val="2815"/>
        </w:trPr>
        <w:tc>
          <w:tcPr>
            <w:tcW w:w="624"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74" w:type="dxa"/>
            <w:vAlign w:val="center"/>
            <w:textDirection w:val="lrTb"/>
            <w:noWrap w:val="false"/>
          </w:tcPr>
          <w:p>
            <w:pPr>
              <w:pStyle w:val="1094"/>
              <w:jc w:val="center"/>
              <w:spacing w:line="360" w:lineRule="auto"/>
              <w:tabs>
                <w:tab w:val="left" w:pos="12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车辆配备</w:t>
            </w:r>
            <w:r>
              <w:rPr>
                <w:rFonts w:hint="eastAsia" w:ascii="宋体" w:hAnsi="宋体" w:cs="宋体"/>
                <w:bCs/>
                <w:color w:val="000000"/>
                <w:sz w:val="24"/>
                <w:highlight w:val="none"/>
              </w:rPr>
            </w:r>
            <w:r/>
          </w:p>
        </w:tc>
        <w:tc>
          <w:tcPr>
            <w:tcW w:w="566" w:type="dxa"/>
            <w:vAlign w:val="center"/>
            <w:textDirection w:val="lrTb"/>
            <w:noWrap w:val="false"/>
          </w:tcPr>
          <w:p>
            <w:pPr>
              <w:pStyle w:val="1094"/>
              <w:jc w:val="center"/>
              <w:spacing w:line="360" w:lineRule="auto"/>
              <w:tabs>
                <w:tab w:val="left" w:pos="1200" w:leader="none"/>
              </w:tabs>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val="en-US" w:eastAsia="zh-CN"/>
              </w:rPr>
            </w:r>
            <w:r/>
          </w:p>
        </w:tc>
        <w:tc>
          <w:tcPr>
            <w:tcW w:w="6158" w:type="dxa"/>
            <w:vAlign w:val="center"/>
            <w:textDirection w:val="lrTb"/>
            <w:noWrap w:val="false"/>
          </w:tcPr>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本项目需频繁跨区域站点巡检，运维人员必须自驾前往，</w:t>
            </w:r>
            <w:r>
              <w:rPr>
                <w:rFonts w:hint="eastAsia" w:cs="宋体"/>
                <w:color w:val="000000"/>
                <w:highlight w:val="none"/>
                <w:lang w:val="en-US" w:eastAsia="zh-CN"/>
              </w:rPr>
            </w:r>
            <w:r/>
          </w:p>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且无公共交通覆盖。供应商拟为本项目配备自有或租赁的</w:t>
            </w:r>
            <w:r>
              <w:rPr>
                <w:rFonts w:hint="eastAsia" w:cs="宋体"/>
                <w:color w:val="000000"/>
                <w:highlight w:val="none"/>
                <w:lang w:val="en-US" w:eastAsia="zh-CN"/>
              </w:rPr>
            </w:r>
            <w:r/>
          </w:p>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设备，用于跨区域站点巡检、应急故障处理：</w:t>
            </w:r>
            <w:r>
              <w:rPr>
                <w:rFonts w:hint="eastAsia" w:cs="宋体"/>
                <w:color w:val="000000"/>
                <w:highlight w:val="none"/>
                <w:lang w:val="en-US" w:eastAsia="zh-CN"/>
              </w:rPr>
            </w:r>
            <w:r/>
          </w:p>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供应商为本项目配备运行维护车辆，每提供一辆得2分，</w:t>
            </w:r>
            <w:r>
              <w:rPr>
                <w:rFonts w:hint="eastAsia" w:cs="宋体"/>
                <w:color w:val="000000"/>
                <w:highlight w:val="none"/>
                <w:lang w:val="en-US" w:eastAsia="zh-CN"/>
              </w:rPr>
            </w:r>
            <w:r/>
          </w:p>
          <w:p>
            <w:pPr>
              <w:pStyle w:val="1131"/>
              <w:spacing w:line="360" w:lineRule="auto"/>
              <w:tabs>
                <w:tab w:val="left" w:pos="567" w:leader="none"/>
              </w:tabs>
              <w:rPr>
                <w:rFonts w:hint="eastAsia" w:cs="宋体"/>
                <w:color w:val="000000"/>
                <w:highlight w:val="none"/>
                <w:lang w:val="en-US" w:eastAsia="zh-CN"/>
              </w:rPr>
            </w:pPr>
            <w:r>
              <w:rPr>
                <w:rFonts w:hint="eastAsia" w:cs="宋体"/>
                <w:color w:val="000000"/>
                <w:highlight w:val="none"/>
                <w:lang w:val="en-US" w:eastAsia="zh-CN"/>
              </w:rPr>
              <w:t xml:space="preserve">最高得4分。</w:t>
            </w:r>
            <w:r>
              <w:rPr>
                <w:rFonts w:hint="eastAsia" w:cs="宋体"/>
                <w:color w:val="000000"/>
                <w:highlight w:val="none"/>
                <w:lang w:val="en-US" w:eastAsia="zh-CN"/>
              </w:rPr>
            </w:r>
            <w:r/>
          </w:p>
          <w:p>
            <w:pPr>
              <w:pStyle w:val="1131"/>
              <w:spacing w:line="360" w:lineRule="auto"/>
              <w:tabs>
                <w:tab w:val="left" w:pos="567" w:leader="none"/>
              </w:tabs>
              <w:rPr>
                <w:rFonts w:hint="eastAsia" w:cs="宋体"/>
                <w:b/>
                <w:bCs/>
                <w:color w:val="000000"/>
                <w:highlight w:val="none"/>
                <w:lang w:val="en-US" w:eastAsia="zh-CN"/>
              </w:rPr>
            </w:pPr>
            <w:r>
              <w:rPr>
                <w:rFonts w:hint="eastAsia" w:cs="宋体"/>
                <w:b/>
                <w:bCs/>
                <w:color w:val="000000"/>
                <w:highlight w:val="none"/>
                <w:lang w:val="en-US" w:eastAsia="zh-CN"/>
              </w:rPr>
              <w:t xml:space="preserve">注：（1）车辆若为自有，提供车辆照片及购买发票及车</w:t>
            </w:r>
            <w:r>
              <w:rPr>
                <w:rFonts w:hint="eastAsia" w:cs="宋体"/>
                <w:b/>
                <w:bCs/>
                <w:color w:val="000000"/>
                <w:highlight w:val="none"/>
                <w:lang w:val="en-US" w:eastAsia="zh-CN"/>
              </w:rPr>
            </w:r>
            <w:r/>
          </w:p>
          <w:p>
            <w:pPr>
              <w:pStyle w:val="1131"/>
              <w:spacing w:line="360" w:lineRule="auto"/>
              <w:tabs>
                <w:tab w:val="left" w:pos="567" w:leader="none"/>
              </w:tabs>
              <w:rPr>
                <w:rFonts w:hint="eastAsia" w:cs="宋体"/>
                <w:b/>
                <w:bCs/>
                <w:color w:val="000000"/>
                <w:highlight w:val="none"/>
                <w:lang w:val="en-US" w:eastAsia="zh-CN"/>
              </w:rPr>
            </w:pPr>
            <w:r>
              <w:rPr>
                <w:rFonts w:hint="eastAsia" w:cs="宋体"/>
                <w:b/>
                <w:bCs/>
                <w:color w:val="000000"/>
                <w:highlight w:val="none"/>
                <w:lang w:val="en-US" w:eastAsia="zh-CN"/>
              </w:rPr>
              <w:t xml:space="preserve">备辆行驶证作为证明材料。磋商响应文件中提供证明材料的原件或复印件，扫描形成的电子文档，并加盖供应商公章，否则不得分。</w:t>
            </w:r>
            <w:r>
              <w:rPr>
                <w:rFonts w:hint="eastAsia" w:cs="宋体"/>
                <w:b/>
                <w:bCs/>
                <w:color w:val="000000"/>
                <w:highlight w:val="none"/>
                <w:lang w:val="en-US" w:eastAsia="zh-CN"/>
              </w:rPr>
            </w:r>
            <w:r/>
          </w:p>
          <w:p>
            <w:pPr>
              <w:pStyle w:val="1131"/>
              <w:spacing w:line="360" w:lineRule="auto"/>
              <w:tabs>
                <w:tab w:val="left" w:pos="567" w:leader="none"/>
              </w:tabs>
              <w:rPr>
                <w:rFonts w:hint="eastAsia" w:cs="宋体"/>
                <w:b/>
                <w:bCs/>
                <w:color w:val="000000"/>
                <w:highlight w:val="none"/>
                <w:lang w:val="en-US" w:eastAsia="zh-CN"/>
              </w:rPr>
            </w:pPr>
            <w:r>
              <w:rPr>
                <w:rFonts w:hint="eastAsia" w:cs="宋体"/>
                <w:b/>
                <w:bCs/>
                <w:color w:val="000000"/>
                <w:highlight w:val="none"/>
                <w:lang w:val="en-US" w:eastAsia="zh-CN"/>
              </w:rPr>
              <w:t xml:space="preserve">（2）车辆若为租赁，提供车辆照片及租赁合同作为证明</w:t>
            </w:r>
            <w:r>
              <w:rPr>
                <w:rFonts w:hint="eastAsia" w:cs="宋体"/>
                <w:b/>
                <w:bCs/>
                <w:color w:val="000000"/>
                <w:highlight w:val="none"/>
                <w:lang w:val="en-US" w:eastAsia="zh-CN"/>
              </w:rPr>
            </w:r>
            <w:r/>
          </w:p>
          <w:p>
            <w:pPr>
              <w:pStyle w:val="1131"/>
              <w:spacing w:line="360" w:lineRule="auto"/>
              <w:tabs>
                <w:tab w:val="left" w:pos="567" w:leader="none"/>
              </w:tabs>
              <w:rPr>
                <w:rFonts w:hint="eastAsia" w:cs="宋体"/>
                <w:b/>
                <w:bCs/>
                <w:color w:val="000000"/>
                <w:highlight w:val="none"/>
                <w:lang w:val="en-US" w:eastAsia="zh-CN"/>
              </w:rPr>
            </w:pPr>
            <w:r>
              <w:rPr>
                <w:rFonts w:hint="eastAsia" w:cs="宋体"/>
                <w:b/>
                <w:bCs/>
                <w:color w:val="000000"/>
                <w:highlight w:val="none"/>
                <w:lang w:val="en-US" w:eastAsia="zh-CN"/>
              </w:rPr>
              <w:t xml:space="preserve">材料。磋商咱应文件中提供证明材料的原件或复印件，扫</w:t>
            </w:r>
            <w:r>
              <w:rPr>
                <w:rFonts w:hint="eastAsia" w:cs="宋体"/>
                <w:b/>
                <w:bCs/>
                <w:color w:val="000000"/>
                <w:highlight w:val="none"/>
                <w:lang w:val="en-US" w:eastAsia="zh-CN"/>
              </w:rPr>
            </w:r>
            <w:r/>
          </w:p>
          <w:p>
            <w:pPr>
              <w:pStyle w:val="1131"/>
              <w:spacing w:line="360" w:lineRule="auto"/>
              <w:tabs>
                <w:tab w:val="left" w:pos="567" w:leader="none"/>
              </w:tabs>
              <w:rPr>
                <w:rFonts w:hint="eastAsia" w:ascii="宋体" w:hAnsi="宋体" w:eastAsia="宋体" w:cs="宋体"/>
                <w:b/>
                <w:bCs/>
                <w:color w:val="000000"/>
                <w:sz w:val="24"/>
                <w:szCs w:val="24"/>
                <w:highlight w:val="none"/>
                <w:lang w:eastAsia="zh-CN"/>
              </w:rPr>
            </w:pPr>
            <w:r>
              <w:rPr>
                <w:rFonts w:hint="eastAsia" w:cs="宋体"/>
                <w:b/>
                <w:bCs/>
                <w:color w:val="000000"/>
                <w:highlight w:val="none"/>
                <w:lang w:val="en-US" w:eastAsia="zh-CN"/>
              </w:rPr>
              <w:t xml:space="preserve">描形成的电子文档，并加盖供应商公章，否则不得分。</w:t>
            </w:r>
            <w:r>
              <w:rPr>
                <w:rFonts w:hint="eastAsia" w:ascii="宋体" w:hAnsi="宋体" w:eastAsia="宋体" w:cs="宋体"/>
                <w:b/>
                <w:bCs/>
                <w:color w:val="000000"/>
                <w:sz w:val="24"/>
                <w:szCs w:val="24"/>
                <w:highlight w:val="none"/>
                <w:lang w:eastAsia="zh-CN"/>
              </w:rPr>
            </w:r>
            <w:r/>
          </w:p>
        </w:tc>
      </w:tr>
      <w:tr>
        <w:trPr>
          <w:trHeight w:val="283"/>
        </w:trPr>
        <w:tc>
          <w:tcPr>
            <w:gridSpan w:val="4"/>
            <w:tcW w:w="8522" w:type="dxa"/>
            <w:vAlign w:val="center"/>
            <w:textDirection w:val="lrTb"/>
            <w:noWrap w:val="false"/>
          </w:tcPr>
          <w:p>
            <w:pPr>
              <w:pStyle w:val="1094"/>
              <w:jc w:val="left"/>
              <w:spacing w:line="360" w:lineRule="auto"/>
              <w:widowControl/>
              <w:tabs>
                <w:tab w:val="left" w:pos="12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三、技术方案（</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0分）</w:t>
            </w:r>
            <w:r>
              <w:rPr>
                <w:rFonts w:ascii="宋体" w:hAnsi="宋体" w:cs="宋体"/>
                <w:b/>
                <w:bCs/>
                <w:color w:val="000000"/>
                <w:sz w:val="24"/>
                <w:highlight w:val="none"/>
              </w:rPr>
            </w:r>
            <w:r/>
          </w:p>
        </w:tc>
      </w:tr>
      <w:tr>
        <w:trPr>
          <w:trHeight w:val="180"/>
        </w:trPr>
        <w:tc>
          <w:tcPr>
            <w:tcW w:w="624"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 1</w:t>
            </w:r>
            <w:r>
              <w:rPr>
                <w:rFonts w:ascii="宋体" w:hAnsi="宋体" w:cs="宋体"/>
                <w:color w:val="000000"/>
                <w:sz w:val="24"/>
                <w:highlight w:val="none"/>
              </w:rPr>
            </w:r>
            <w:r/>
          </w:p>
        </w:tc>
        <w:tc>
          <w:tcPr>
            <w:tcW w:w="1174"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t xml:space="preserve">工作方案</w:t>
            </w:r>
            <w:r>
              <w:rPr>
                <w:rFonts w:ascii="宋体" w:hAnsi="宋体" w:cs="宋体"/>
                <w:color w:val="000000"/>
                <w:sz w:val="24"/>
                <w:highlight w:val="none"/>
              </w:rPr>
            </w:r>
            <w:r/>
          </w:p>
        </w:tc>
        <w:tc>
          <w:tcPr>
            <w:tcW w:w="566"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磋商小组根据供应商拟制的</w:t>
            </w:r>
            <w:r>
              <w:rPr>
                <w:rFonts w:ascii="宋体" w:hAnsi="宋体" w:cs="宋体"/>
                <w:color w:val="000000"/>
                <w:sz w:val="24"/>
                <w:highlight w:val="none"/>
                <w:lang w:val="en-US" w:eastAsia="zh-CN"/>
              </w:rPr>
              <w:t xml:space="preserve">工作方案</w:t>
            </w:r>
            <w:r>
              <w:rPr>
                <w:rFonts w:hint="eastAsia" w:ascii="宋体" w:hAnsi="宋体" w:cs="宋体"/>
                <w:color w:val="000000"/>
                <w:sz w:val="24"/>
                <w:highlight w:val="none"/>
                <w:lang w:val="en-US" w:eastAsia="zh-CN"/>
              </w:rPr>
              <w:t xml:space="preserve">（包含项目主要内容、工作思路、实现路径等）</w:t>
            </w:r>
            <w:r>
              <w:rPr>
                <w:rFonts w:hint="eastAsia" w:hAnsi="宋体" w:cs="宋体"/>
                <w:color w:val="000000"/>
                <w:sz w:val="24"/>
                <w:highlight w:val="none"/>
                <w:lang w:val="en-US" w:eastAsia="zh-CN"/>
              </w:rPr>
              <w:t xml:space="preserve">进行综合</w:t>
            </w:r>
            <w:r>
              <w:rPr>
                <w:rFonts w:hint="eastAsia" w:ascii="宋体" w:hAnsi="宋体" w:cs="宋体"/>
                <w:color w:val="000000"/>
                <w:sz w:val="24"/>
                <w:highlight w:val="none"/>
                <w:lang w:val="en-US" w:eastAsia="zh-CN"/>
              </w:rPr>
              <w:t xml:space="preserve">评审，方案完整，能完全满足项目实施要求，得10分;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127"/>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未提供本项不得分。</w:t>
            </w:r>
            <w:r>
              <w:rPr>
                <w:rFonts w:ascii="宋体" w:hAnsi="宋体" w:cs="宋体"/>
                <w:color w:val="000000"/>
                <w:sz w:val="24"/>
                <w:highlight w:val="none"/>
                <w:lang w:val="en-US" w:eastAsia="zh-CN"/>
              </w:rPr>
            </w:r>
            <w:r/>
          </w:p>
        </w:tc>
      </w:tr>
      <w:tr>
        <w:trPr>
          <w:trHeight w:val="180"/>
        </w:trPr>
        <w:tc>
          <w:tcPr>
            <w:tcW w:w="624" w:type="dxa"/>
            <w:vAlign w:val="center"/>
            <w:textDirection w:val="lrTb"/>
            <w:noWrap w:val="false"/>
          </w:tcPr>
          <w:p>
            <w:pPr>
              <w:pStyle w:val="1094"/>
              <w:jc w:val="center"/>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74" w:type="dxa"/>
            <w:vAlign w:val="center"/>
            <w:textDirection w:val="lrTb"/>
            <w:noWrap w:val="false"/>
          </w:tcPr>
          <w:p>
            <w:pPr>
              <w:pStyle w:val="1094"/>
              <w:jc w:val="center"/>
              <w:spacing w:line="360" w:lineRule="auto"/>
              <w:rPr>
                <w:rStyle w:val="1361"/>
                <w:rFonts w:ascii="宋体" w:hAnsi="宋体"/>
                <w:color w:val="000000"/>
                <w:sz w:val="24"/>
                <w:highlight w:val="none"/>
                <w:lang w:val="en-US"/>
              </w:rPr>
            </w:pPr>
            <w:r>
              <w:rPr>
                <w:rStyle w:val="1361"/>
                <w:rFonts w:hint="eastAsia" w:ascii="宋体" w:hAnsi="宋体"/>
                <w:color w:val="000000"/>
                <w:sz w:val="24"/>
                <w:highlight w:val="none"/>
                <w:lang w:val="en-US"/>
              </w:rPr>
              <w:t xml:space="preserve">应急预案</w:t>
            </w:r>
            <w:r>
              <w:rPr>
                <w:rStyle w:val="1361"/>
                <w:rFonts w:ascii="宋体" w:hAnsi="宋体"/>
                <w:color w:val="000000"/>
                <w:sz w:val="24"/>
                <w:highlight w:val="none"/>
                <w:lang w:val="en-US"/>
              </w:rPr>
            </w:r>
            <w:r/>
          </w:p>
        </w:tc>
        <w:tc>
          <w:tcPr>
            <w:tcW w:w="566"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磋商小组根据供应商拟制的</w:t>
            </w:r>
            <w:r>
              <w:rPr>
                <w:rStyle w:val="1361"/>
                <w:rFonts w:hint="eastAsia" w:ascii="宋体" w:hAnsi="宋体"/>
                <w:color w:val="000000"/>
                <w:sz w:val="24"/>
                <w:highlight w:val="none"/>
                <w:lang w:val="en-US"/>
              </w:rPr>
              <w:t xml:space="preserve">应急预案</w:t>
            </w:r>
            <w:r>
              <w:rPr>
                <w:rFonts w:hint="eastAsia" w:ascii="宋体" w:hAnsi="宋体" w:cs="宋体"/>
                <w:color w:val="000000"/>
                <w:sz w:val="24"/>
                <w:highlight w:val="none"/>
              </w:rPr>
              <w:t xml:space="preserve">进行综合评审，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r>
        <w:trPr>
          <w:trHeight w:val="180"/>
        </w:trPr>
        <w:tc>
          <w:tcPr>
            <w:tcW w:w="624" w:type="dxa"/>
            <w:vAlign w:val="center"/>
            <w:textDirection w:val="lrTb"/>
            <w:noWrap w:val="false"/>
          </w:tcPr>
          <w:p>
            <w:pPr>
              <w:pStyle w:val="1094"/>
              <w:jc w:val="center"/>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74" w:type="dxa"/>
            <w:vAlign w:val="center"/>
            <w:textDirection w:val="lrTb"/>
            <w:noWrap w:val="false"/>
          </w:tcPr>
          <w:p>
            <w:pPr>
              <w:pStyle w:val="1094"/>
              <w:jc w:val="center"/>
              <w:spacing w:line="360" w:lineRule="auto"/>
              <w:widowControl/>
              <w:tabs>
                <w:tab w:val="left" w:pos="1200" w:leader="none"/>
              </w:tabs>
              <w:rPr>
                <w:rStyle w:val="1361"/>
                <w:rFonts w:hint="eastAsia" w:ascii="宋体" w:hAnsi="宋体"/>
                <w:color w:val="000000"/>
                <w:sz w:val="24"/>
                <w:highlight w:val="none"/>
              </w:rPr>
            </w:pPr>
            <w:r>
              <w:rPr>
                <w:rFonts w:hint="eastAsia" w:ascii="宋体" w:hAnsi="宋体" w:cs="宋体"/>
                <w:color w:val="000000"/>
                <w:sz w:val="24"/>
                <w:highlight w:val="none"/>
              </w:rPr>
              <w:t xml:space="preserve">数据审核方案</w:t>
            </w:r>
            <w:r>
              <w:rPr>
                <w:rStyle w:val="1361"/>
                <w:rFonts w:hint="eastAsia" w:ascii="宋体" w:hAnsi="宋体"/>
                <w:color w:val="000000"/>
                <w:sz w:val="24"/>
                <w:highlight w:val="none"/>
              </w:rPr>
            </w:r>
            <w:r/>
          </w:p>
        </w:tc>
        <w:tc>
          <w:tcPr>
            <w:tcW w:w="566"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磋商小组根据供应商拟制的</w:t>
            </w:r>
            <w:r>
              <w:rPr>
                <w:rFonts w:hint="eastAsia" w:ascii="宋体" w:hAnsi="宋体" w:cs="宋体"/>
                <w:color w:val="000000"/>
                <w:sz w:val="24"/>
                <w:highlight w:val="none"/>
              </w:rPr>
              <w:t xml:space="preserve">数据审核方案（明确数据审核</w:t>
            </w:r>
            <w:r>
              <w:rPr>
                <w:rFonts w:hint="eastAsia" w:ascii="宋体" w:hAnsi="宋体" w:cs="宋体"/>
                <w:color w:val="000000"/>
                <w:sz w:val="24"/>
                <w:highlight w:val="none"/>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的方法、技术保障及管理措施）</w:t>
            </w:r>
            <w:r>
              <w:rPr>
                <w:rFonts w:hint="eastAsia" w:ascii="宋体" w:hAnsi="宋体" w:cs="宋体"/>
                <w:color w:val="000000"/>
                <w:sz w:val="24"/>
                <w:highlight w:val="none"/>
                <w:lang w:val="en-US" w:eastAsia="zh-CN"/>
              </w:rPr>
              <w:t xml:space="preserve">进行综合评审，方案完整，能完全满足项目实施要求，得10分;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lang w:val="en-US" w:eastAsia="zh-CN"/>
              </w:rPr>
            </w:r>
            <w:r/>
          </w:p>
        </w:tc>
      </w:tr>
      <w:tr>
        <w:trPr>
          <w:trHeight w:val="180"/>
        </w:trPr>
        <w:tc>
          <w:tcPr>
            <w:tcW w:w="624"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174" w:type="dxa"/>
            <w:vAlign w:val="center"/>
            <w:textDirection w:val="lrTb"/>
            <w:noWrap w:val="false"/>
          </w:tcPr>
          <w:p>
            <w:pPr>
              <w:pStyle w:val="1094"/>
              <w:jc w:val="center"/>
              <w:spacing w:line="360" w:lineRule="auto"/>
              <w:rPr>
                <w:rStyle w:val="1361"/>
                <w:rFonts w:hint="eastAsia" w:ascii="宋体" w:hAnsi="宋体"/>
                <w:color w:val="000000"/>
                <w:sz w:val="24"/>
                <w:highlight w:val="none"/>
              </w:rPr>
            </w:pPr>
            <w:r>
              <w:rPr>
                <w:rFonts w:hint="eastAsia" w:ascii="宋体" w:hAnsi="宋体" w:cs="宋体"/>
                <w:color w:val="000000"/>
                <w:sz w:val="24"/>
                <w:highlight w:val="none"/>
              </w:rPr>
              <w:t xml:space="preserve">人员配备方案</w:t>
            </w:r>
            <w:r>
              <w:rPr>
                <w:rStyle w:val="1361"/>
                <w:rFonts w:hint="eastAsia" w:ascii="宋体" w:hAnsi="宋体"/>
                <w:color w:val="000000"/>
                <w:sz w:val="24"/>
                <w:highlight w:val="none"/>
              </w:rPr>
            </w:r>
            <w:r/>
          </w:p>
        </w:tc>
        <w:tc>
          <w:tcPr>
            <w:tcW w:w="566"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磋商小组根据</w:t>
            </w:r>
            <w:r>
              <w:rPr>
                <w:rFonts w:hint="eastAsia" w:hAnsi="宋体" w:cs="宋体"/>
                <w:color w:val="000000"/>
                <w:sz w:val="24"/>
                <w:highlight w:val="none"/>
              </w:rPr>
              <w:t xml:space="preserve">供应商针</w:t>
            </w:r>
            <w:r>
              <w:rPr>
                <w:rFonts w:hint="eastAsia" w:ascii="宋体" w:hAnsi="宋体" w:cs="宋体"/>
                <w:color w:val="000000"/>
                <w:sz w:val="24"/>
                <w:highlight w:val="none"/>
              </w:rPr>
              <w:t xml:space="preserve">对</w:t>
            </w:r>
            <w:r>
              <w:rPr>
                <w:rFonts w:hint="eastAsia" w:hAnsi="宋体" w:cs="宋体"/>
                <w:color w:val="000000"/>
                <w:sz w:val="24"/>
                <w:highlight w:val="none"/>
              </w:rPr>
              <w:t xml:space="preserve">本项目</w:t>
            </w:r>
            <w:r>
              <w:rPr>
                <w:rFonts w:hint="eastAsia" w:ascii="宋体" w:hAnsi="宋体" w:cs="宋体"/>
                <w:color w:val="000000"/>
                <w:sz w:val="24"/>
                <w:highlight w:val="none"/>
              </w:rPr>
              <w:t xml:space="preserve">拟定的</w:t>
            </w:r>
            <w:r>
              <w:rPr>
                <w:rFonts w:hint="eastAsia" w:ascii="宋体" w:hAnsi="宋体" w:cs="宋体"/>
                <w:color w:val="000000"/>
                <w:sz w:val="24"/>
                <w:highlight w:val="none"/>
              </w:rPr>
              <w:t xml:space="preserve">人员配备方案</w:t>
            </w:r>
            <w:r>
              <w:rPr>
                <w:rFonts w:hint="eastAsia" w:hAnsi="宋体" w:cs="宋体"/>
                <w:color w:val="000000"/>
                <w:sz w:val="24"/>
                <w:highlight w:val="none"/>
              </w:rPr>
              <w:t xml:space="preserve">进行综合</w:t>
            </w:r>
            <w:r>
              <w:rPr>
                <w:rFonts w:hint="eastAsia" w:ascii="宋体" w:hAnsi="宋体" w:cs="宋体"/>
                <w:color w:val="000000"/>
                <w:sz w:val="24"/>
                <w:highlight w:val="none"/>
              </w:rPr>
              <w:t xml:space="preserve">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r>
        <w:trPr>
          <w:trHeight w:val="180"/>
        </w:trPr>
        <w:tc>
          <w:tcPr>
            <w:tcW w:w="624" w:type="dxa"/>
            <w:vAlign w:val="center"/>
            <w:textDirection w:val="lrTb"/>
            <w:noWrap w:val="false"/>
          </w:tcPr>
          <w:p>
            <w:pPr>
              <w:pStyle w:val="1094"/>
              <w:jc w:val="center"/>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74" w:type="dxa"/>
            <w:vAlign w:val="center"/>
            <w:textDirection w:val="lrTb"/>
            <w:noWrap w:val="false"/>
          </w:tcPr>
          <w:p>
            <w:pPr>
              <w:pStyle w:val="1094"/>
              <w:jc w:val="center"/>
              <w:spacing w:line="360" w:lineRule="auto"/>
              <w:widowControl/>
              <w:tabs>
                <w:tab w:val="left" w:pos="1200" w:leader="none"/>
              </w:tabs>
              <w:rPr>
                <w:rFonts w:hint="eastAsia" w:ascii="宋体" w:hAnsi="宋体" w:cs="宋体"/>
                <w:color w:val="000000"/>
                <w:sz w:val="24"/>
                <w:highlight w:val="none"/>
              </w:rPr>
            </w:pPr>
            <w:r>
              <w:rPr>
                <w:rStyle w:val="1361"/>
                <w:rFonts w:ascii="宋体" w:hAnsi="宋体"/>
                <w:color w:val="000000"/>
                <w:sz w:val="24"/>
                <w:highlight w:val="none"/>
              </w:rPr>
              <w:t xml:space="preserve">合理化建议</w:t>
            </w:r>
            <w:r>
              <w:rPr>
                <w:rFonts w:hint="eastAsia" w:ascii="宋体" w:hAnsi="宋体" w:cs="宋体"/>
                <w:color w:val="000000"/>
                <w:sz w:val="24"/>
                <w:highlight w:val="none"/>
              </w:rPr>
            </w:r>
            <w:r/>
          </w:p>
        </w:tc>
        <w:tc>
          <w:tcPr>
            <w:tcW w:w="566" w:type="dxa"/>
            <w:vAlign w:val="center"/>
            <w:textDirection w:val="lrTb"/>
            <w:noWrap w:val="false"/>
          </w:tcPr>
          <w:p>
            <w:pPr>
              <w:pStyle w:val="1094"/>
              <w:jc w:val="center"/>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6158" w:type="dxa"/>
            <w:vAlign w:val="center"/>
            <w:textDirection w:val="lrTb"/>
            <w:noWrap w:val="false"/>
          </w:tcPr>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供应商根据本项目制定的合理化建议进行综合评审，</w:t>
            </w:r>
            <w:r>
              <w:rPr>
                <w:rFonts w:hint="eastAsia" w:ascii="宋体" w:hAnsi="宋体" w:cs="宋体"/>
                <w:color w:val="000000"/>
                <w:sz w:val="24"/>
                <w:highlight w:val="none"/>
                <w:lang w:val="en-US" w:eastAsia="zh-CN"/>
              </w:rPr>
              <w:t xml:space="preserve">方案完整，能完全满足项目实施要求，得10分;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方案较具体，能基本满足项目实施要求，得8分;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方案能部分满足项目实施要求，得6分;</w:t>
            </w:r>
            <w:r>
              <w:rPr>
                <w:rFonts w:hint="eastAsia" w:ascii="宋体" w:hAnsi="宋体" w:cs="宋体"/>
                <w:color w:val="000000"/>
                <w:sz w:val="24"/>
                <w:highlight w:val="none"/>
                <w:lang w:val="en-US" w:eastAsia="zh-CN"/>
              </w:rPr>
            </w:r>
            <w:r/>
          </w:p>
          <w:p>
            <w:pPr>
              <w:pStyle w:val="1127"/>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方案内容较简单，对项目实施要求响应一般，得4分;</w:t>
            </w:r>
            <w:r>
              <w:rPr>
                <w:rFonts w:hint="eastAsia" w:ascii="宋体" w:hAnsi="宋体" w:cs="宋体"/>
                <w:color w:val="000000"/>
                <w:sz w:val="24"/>
                <w:highlight w:val="none"/>
                <w:lang w:val="en-US" w:eastAsia="zh-CN"/>
              </w:rPr>
            </w:r>
            <w:r/>
          </w:p>
          <w:p>
            <w:pPr>
              <w:pStyle w:val="1094"/>
              <w:jc w:val="left"/>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未提供本项不得分。</w:t>
            </w:r>
            <w:r>
              <w:rPr>
                <w:rFonts w:hint="eastAsia" w:ascii="宋体" w:hAnsi="宋体" w:cs="宋体"/>
                <w:color w:val="000000"/>
                <w:sz w:val="24"/>
                <w:highlight w:val="none"/>
              </w:rPr>
            </w:r>
            <w:r/>
          </w:p>
        </w:tc>
      </w:tr>
    </w:tbl>
    <w:p>
      <w:pPr>
        <w:pStyle w:val="1094"/>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注：1.评分细则中要求提供的证明文件及资料等在磋商响应文件中提供并加盖公章，否则不得分。</w:t>
      </w:r>
      <w:r>
        <w:rPr>
          <w:rFonts w:hint="eastAsia" w:ascii="宋体" w:hAnsi="宋体" w:eastAsia="宋体" w:cs="宋体"/>
          <w:bCs/>
          <w:color w:val="000000"/>
          <w:sz w:val="24"/>
          <w:szCs w:val="24"/>
          <w:highlight w:val="none"/>
        </w:rPr>
      </w:r>
      <w:r/>
    </w:p>
    <w:p>
      <w:pPr>
        <w:pStyle w:val="1094"/>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ascii="宋体" w:hAnsi="宋体" w:eastAsia="宋体" w:cs="宋体"/>
          <w:bCs/>
          <w:color w:val="000000"/>
          <w:sz w:val="24"/>
          <w:szCs w:val="24"/>
          <w:highlight w:val="none"/>
        </w:rPr>
      </w:r>
      <w:r/>
    </w:p>
    <w:p>
      <w:pPr>
        <w:pStyle w:val="1094"/>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rPr>
      </w:r>
      <w:r/>
    </w:p>
    <w:p>
      <w:pPr>
        <w:pStyle w:val="1094"/>
        <w:contextualSpacing/>
        <w:jc w:val="center"/>
        <w:keepLines w:val="0"/>
        <w:keepNext w:val="0"/>
        <w:pageBreakBefore w:val="0"/>
        <w:spacing w:line="360" w:lineRule="auto"/>
        <w:widowControl w:val="off"/>
        <w:rPr>
          <w:b/>
          <w:color w:val="000000"/>
          <w:sz w:val="36"/>
          <w:szCs w:val="36"/>
          <w:highlight w:val="none"/>
        </w:rPr>
        <w:outlineLvl w:val="0"/>
      </w:pPr>
      <w:r>
        <w:rPr>
          <w:b/>
          <w:color w:val="000000"/>
          <w:sz w:val="36"/>
          <w:szCs w:val="36"/>
          <w:highlight w:val="none"/>
        </w:rPr>
        <w:t xml:space="preserve">第四章   采购需求</w:t>
      </w:r>
      <w:r>
        <w:rPr>
          <w:b/>
          <w:color w:val="000000"/>
          <w:sz w:val="36"/>
          <w:szCs w:val="36"/>
          <w:highlight w:val="none"/>
        </w:rPr>
      </w:r>
      <w:r/>
    </w:p>
    <w:p>
      <w:pPr>
        <w:pStyle w:val="1094"/>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rPr>
          <w:rFonts w:hint="eastAsia" w:ascii="宋体" w:hAnsi="宋体" w:eastAsia="宋体" w:cs="宋体"/>
          <w:b/>
          <w:color w:val="000000"/>
          <w:sz w:val="24"/>
          <w:szCs w:val="24"/>
          <w:highlight w:val="none"/>
          <w:lang w:val="en-US" w:eastAsia="zh-CN"/>
        </w:rPr>
      </w:r>
      <w:r/>
    </w:p>
    <w:p>
      <w:pPr>
        <w:pStyle w:val="1094"/>
        <w:ind w:firstLine="488"/>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color w:val="000000"/>
          <w:spacing w:val="2"/>
          <w:sz w:val="24"/>
          <w:szCs w:val="24"/>
          <w:highlight w:val="none"/>
          <w:u w:val="none"/>
          <w:lang w:eastAsia="zh-CN"/>
        </w:rPr>
        <w:t xml:space="preserve">本项目是2025年天宁水质自动站及空气自动站维保服务项目，</w:t>
      </w:r>
      <w:r>
        <w:rPr>
          <w:rFonts w:hint="eastAsia" w:ascii="宋体" w:hAnsi="宋体" w:eastAsia="宋体" w:cs="宋体"/>
          <w:color w:val="000000"/>
          <w:sz w:val="24"/>
          <w:szCs w:val="24"/>
          <w:highlight w:val="none"/>
          <w:lang w:eastAsia="zh-CN"/>
        </w:rPr>
        <w:t xml:space="preserve">根据天宁区要求开展0</w:t>
      </w:r>
      <w:r>
        <w:rPr>
          <w:rFonts w:hint="eastAsia" w:ascii="宋体" w:hAnsi="宋体" w:eastAsia="宋体" w:cs="宋体"/>
          <w:color w:val="000000"/>
          <w:sz w:val="24"/>
          <w:szCs w:val="24"/>
          <w:highlight w:val="none"/>
          <w:lang w:eastAsia="zh-CN"/>
        </w:rPr>
        <w:t xml:space="preserve">1包：服务内容包含日常运行维护、数据审核、仪器设备的故障诊断及维修、维保期间自动站监测设备的水、电、空调、通讯（电信光纤或无线）维修费用，监测数据的质控、审核、分析、预警、评估等，对三个站点进行全托管维保服务。维护维修和费用均由成交供应商提供。02包：服务内容包含为天宁区7个乡镇空气自动监测站监测设备维保，内容包括：耗材、备件、标气、仪器、辅助设备的维修、备机的提供及维保期间自动站监测设备的水、电、空调、通讯（电信光纤或无线）维修费用、监测设备的保养、监测数据的质控、审核。维护维修和费用均由成交供应商提供。</w:t>
      </w:r>
      <w:r>
        <w:rPr>
          <w:rFonts w:hint="eastAsia" w:ascii="宋体" w:hAnsi="宋体" w:eastAsia="宋体" w:cs="宋体"/>
          <w:bCs/>
          <w:color w:val="000000"/>
          <w:sz w:val="24"/>
          <w:szCs w:val="24"/>
          <w:highlight w:val="none"/>
          <w:lang w:val="en-US" w:eastAsia="zh-CN"/>
        </w:rPr>
      </w:r>
      <w:r/>
    </w:p>
    <w:p>
      <w:pPr>
        <w:pStyle w:val="1094"/>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rPr>
          <w:rFonts w:hint="eastAsia" w:ascii="宋体" w:hAnsi="宋体" w:eastAsia="宋体" w:cs="宋体"/>
          <w:b/>
          <w:color w:val="000000"/>
          <w:sz w:val="24"/>
          <w:szCs w:val="24"/>
          <w:highlight w:val="none"/>
          <w:lang w:val="en-US" w:eastAsia="zh-CN"/>
        </w:rPr>
      </w:r>
      <w:r/>
    </w:p>
    <w:p>
      <w:pPr>
        <w:pStyle w:val="1094"/>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
          <w:bCs w:val="0"/>
          <w:color w:val="000000"/>
          <w:sz w:val="24"/>
          <w:szCs w:val="24"/>
          <w:highlight w:val="none"/>
        </w:rPr>
      </w:r>
      <w:r/>
    </w:p>
    <w:p>
      <w:pPr>
        <w:pStyle w:val="1094"/>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自合同签订之日起1年。</w:t>
      </w:r>
      <w:r>
        <w:rPr>
          <w:rFonts w:hint="eastAsia" w:ascii="宋体" w:hAnsi="宋体" w:eastAsia="宋体" w:cs="宋体"/>
          <w:bCs/>
          <w:color w:val="000000"/>
          <w:sz w:val="24"/>
          <w:szCs w:val="24"/>
          <w:highlight w:val="none"/>
          <w:lang w:val="en-US" w:eastAsia="zh-CN"/>
        </w:rPr>
      </w:r>
      <w:r/>
    </w:p>
    <w:p>
      <w:pPr>
        <w:pStyle w:val="1094"/>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（二）付款方式</w:t>
      </w:r>
      <w:r>
        <w:rPr>
          <w:rFonts w:hint="eastAsia" w:ascii="宋体" w:hAnsi="宋体" w:eastAsia="宋体" w:cs="宋体"/>
          <w:b/>
          <w:bCs w:val="0"/>
          <w:color w:val="000000"/>
          <w:sz w:val="24"/>
          <w:szCs w:val="24"/>
          <w:highlight w:val="none"/>
          <w:lang w:val="en-US" w:eastAsia="zh-CN"/>
        </w:rPr>
      </w:r>
      <w:r/>
    </w:p>
    <w:p>
      <w:pPr>
        <w:pStyle w:val="1094"/>
        <w:contextualSpacing/>
        <w:ind w:firstLine="48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合同签订生效后，于2025年底前支付合同金额的30%，合同中期经履约验收后，支付至合同金额的60%，合同终期经履约验收后，付清剩余尾款。</w:t>
      </w:r>
      <w:r>
        <w:rPr>
          <w:rFonts w:hint="eastAsia" w:ascii="宋体" w:hAnsi="宋体" w:eastAsia="宋体" w:cs="宋体"/>
          <w:color w:val="000000"/>
          <w:sz w:val="24"/>
          <w:szCs w:val="24"/>
          <w:highlight w:val="none"/>
        </w:rPr>
        <w:t xml:space="preserve">其中需扣除当年度运维期间因不符合相关技术规范及违反规章制度必须扣发的运维费。</w:t>
      </w:r>
      <w:r>
        <w:rPr>
          <w:rFonts w:hint="eastAsia" w:ascii="宋体" w:hAnsi="宋体" w:eastAsia="宋体" w:cs="宋体"/>
          <w:color w:val="000000"/>
          <w:sz w:val="24"/>
          <w:szCs w:val="24"/>
          <w:highlight w:val="none"/>
        </w:rPr>
      </w:r>
      <w:r/>
    </w:p>
    <w:p>
      <w:pPr>
        <w:pStyle w:val="1094"/>
        <w:contextualSpacing/>
        <w:ind w:firstLine="482"/>
        <w:spacing w:line="360" w:lineRule="auto"/>
        <w:rPr>
          <w:rFonts w:hint="eastAsia" w:ascii="宋体" w:hAnsi="宋体" w:cs="宋体"/>
          <w:bCs/>
          <w:color w:val="000000"/>
          <w:sz w:val="24"/>
          <w:highlight w:val="none"/>
          <w:lang w:val="en-US" w:eastAsia="zh-CN"/>
        </w:rPr>
        <w:outlineLvl w:val="9"/>
      </w:pPr>
      <w:r>
        <w:rPr>
          <w:rFonts w:ascii="宋体" w:hAnsi="宋体" w:eastAsia="宋体" w:cs="宋体"/>
          <w:b/>
          <w:bCs/>
          <w:color w:val="000000"/>
          <w:sz w:val="24"/>
          <w:szCs w:val="24"/>
          <w:highlight w:val="none"/>
        </w:rPr>
        <w:t xml:space="preserve">注：以上每次付款前，</w:t>
      </w:r>
      <w:r>
        <w:rPr>
          <w:rFonts w:hint="eastAsia" w:ascii="宋体" w:hAnsi="宋体" w:eastAsia="宋体" w:cs="宋体"/>
          <w:b/>
          <w:bCs/>
          <w:color w:val="000000"/>
          <w:sz w:val="24"/>
          <w:szCs w:val="24"/>
          <w:highlight w:val="none"/>
        </w:rPr>
        <w:t xml:space="preserve">成交</w:t>
      </w:r>
      <w:r>
        <w:rPr>
          <w:rFonts w:ascii="宋体" w:hAnsi="宋体" w:eastAsia="宋体" w:cs="宋体"/>
          <w:b/>
          <w:bCs/>
          <w:color w:val="000000"/>
          <w:sz w:val="24"/>
          <w:szCs w:val="24"/>
          <w:highlight w:val="none"/>
        </w:rPr>
        <w:t xml:space="preserve">供应商均应提供符合采购人要求的同等金额的合法有效发票。否则，采购人有权顺延付款时间，且不承担任何违约或赔偿责任</w:t>
      </w:r>
      <w:r>
        <w:rPr>
          <w:rFonts w:hint="eastAsia" w:ascii="宋体" w:hAnsi="宋体" w:eastAsia="宋体" w:cs="宋体"/>
          <w:b/>
          <w:bCs/>
          <w:color w:val="000000"/>
          <w:sz w:val="24"/>
          <w:szCs w:val="24"/>
          <w:highlight w:val="none"/>
        </w:rPr>
        <w:t xml:space="preserve">。</w:t>
      </w:r>
      <w:r>
        <w:rPr>
          <w:rFonts w:hint="eastAsia" w:ascii="宋体" w:hAnsi="宋体" w:cs="宋体"/>
          <w:bCs/>
          <w:color w:val="000000"/>
          <w:sz w:val="24"/>
          <w:highlight w:val="none"/>
          <w:lang w:val="en-US" w:eastAsia="zh-CN"/>
        </w:rPr>
      </w:r>
      <w:r/>
    </w:p>
    <w:p>
      <w:pPr>
        <w:pStyle w:val="1094"/>
        <w:keepLines w:val="0"/>
        <w:keepNext w:val="0"/>
        <w:pageBreakBefore w:val="0"/>
        <w:spacing w:line="360" w:lineRule="auto"/>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三、服务内容及要求</w:t>
      </w:r>
      <w:r>
        <w:rPr>
          <w:rFonts w:ascii="宋体" w:hAnsi="宋体" w:eastAsia="宋体" w:cs="宋体"/>
          <w:b/>
          <w:color w:val="000000"/>
          <w:sz w:val="24"/>
          <w:szCs w:val="24"/>
          <w:highlight w:val="none"/>
          <w:lang w:val="en-US" w:eastAsia="zh-CN"/>
        </w:rPr>
      </w:r>
      <w:r/>
    </w:p>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01包：</w:t>
      </w:r>
      <w:r>
        <w:rPr>
          <w:rFonts w:ascii="宋体" w:hAnsi="宋体" w:eastAsia="宋体" w:cs="宋体"/>
          <w:b w:val="0"/>
          <w:bCs/>
          <w:color w:val="000000"/>
          <w:sz w:val="24"/>
          <w:szCs w:val="24"/>
          <w:highlight w:val="none"/>
          <w:lang w:val="en-US" w:eastAsia="zh-CN"/>
        </w:rPr>
      </w:r>
      <w:r/>
    </w:p>
    <w:p>
      <w:pPr>
        <w:pStyle w:val="1094"/>
        <w:ind w:firstLine="482"/>
        <w:keepLines w:val="0"/>
        <w:keepNext w:val="0"/>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A.站点详细信息及运行维护的主要设备情况见表1、表2。</w:t>
      </w:r>
      <w:r>
        <w:rPr>
          <w:rFonts w:hint="eastAsia" w:ascii="宋体" w:hAnsi="宋体" w:eastAsia="宋体" w:cs="宋体"/>
          <w:b w:val="0"/>
          <w:bCs/>
          <w:color w:val="000000"/>
          <w:sz w:val="24"/>
          <w:szCs w:val="24"/>
          <w:highlight w:val="none"/>
          <w:lang w:val="en-US" w:eastAsia="zh-CN"/>
        </w:rPr>
      </w:r>
      <w:r/>
    </w:p>
    <w:p>
      <w:pPr>
        <w:pStyle w:val="1094"/>
        <w:ind w:firstLine="482"/>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表 1</w:t>
      </w:r>
      <w:r>
        <w:rPr>
          <w:rFonts w:hint="eastAsia" w:ascii="宋体" w:hAnsi="宋体" w:eastAsia="宋体" w:cs="宋体"/>
          <w:b/>
          <w:bCs/>
          <w:color w:val="000000"/>
          <w:sz w:val="24"/>
          <w:szCs w:val="24"/>
          <w:highlight w:val="none"/>
          <w:lang w:val="en-US" w:eastAsia="zh-CN"/>
        </w:rPr>
        <w:t xml:space="preserve"> </w:t>
      </w:r>
      <w:r>
        <w:rPr>
          <w:rFonts w:ascii="宋体" w:hAnsi="宋体" w:eastAsia="宋体" w:cs="宋体"/>
          <w:b/>
          <w:bCs/>
          <w:color w:val="000000"/>
          <w:sz w:val="24"/>
          <w:szCs w:val="24"/>
          <w:highlight w:val="none"/>
        </w:rPr>
        <w:t xml:space="preserve">站点情况</w:t>
      </w:r>
      <w:r>
        <w:rPr>
          <w:rFonts w:ascii="宋体" w:hAnsi="宋体" w:eastAsia="宋体" w:cs="宋体"/>
          <w:color w:val="000000"/>
          <w:sz w:val="24"/>
          <w:szCs w:val="24"/>
          <w:highlight w:val="none"/>
        </w:rPr>
      </w:r>
      <w:r/>
    </w:p>
    <w:tbl>
      <w:tblPr>
        <w:tblStyle w:val="1355"/>
        <w:tblpPr w:horzAnchor="page" w:tblpXSpec="center" w:vertAnchor="text" w:tblpY="121" w:leftFromText="180" w:topFromText="0" w:rightFromText="180" w:bottomFromText="0"/>
        <w:tblW w:w="4998" w:type="pct"/>
        <w:jc w:val="center"/>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2051"/>
        <w:gridCol w:w="2906"/>
        <w:gridCol w:w="3587"/>
      </w:tblGrid>
      <w:tr>
        <w:trPr>
          <w:trHeight w:val="477"/>
        </w:trPr>
        <w:tc>
          <w:tcPr>
            <w:tcW w:w="462"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Align="center" w:y="121"/>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089"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Align="center" w:y="121"/>
            </w:pPr>
            <w:r>
              <w:rPr>
                <w:rFonts w:hint="eastAsia" w:ascii="宋体" w:hAnsi="宋体" w:eastAsia="宋体" w:cs="宋体"/>
                <w:b/>
                <w:bCs/>
                <w:color w:val="000000"/>
                <w:sz w:val="24"/>
                <w:szCs w:val="24"/>
                <w:highlight w:val="none"/>
              </w:rPr>
              <w:t xml:space="preserve">站点名称</w:t>
            </w:r>
            <w:r>
              <w:rPr>
                <w:rFonts w:hint="eastAsia" w:ascii="宋体" w:hAnsi="宋体" w:eastAsia="宋体" w:cs="宋体"/>
                <w:b/>
                <w:bCs/>
                <w:color w:val="000000"/>
                <w:sz w:val="24"/>
                <w:szCs w:val="24"/>
                <w:highlight w:val="none"/>
              </w:rPr>
            </w:r>
            <w:r/>
          </w:p>
        </w:tc>
        <w:tc>
          <w:tcPr>
            <w:tcW w:w="1543"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Align="center" w:y="121"/>
            </w:pPr>
            <w:r>
              <w:rPr>
                <w:rFonts w:hint="eastAsia" w:ascii="宋体" w:hAnsi="宋体" w:eastAsia="宋体" w:cs="宋体"/>
                <w:b/>
                <w:bCs/>
                <w:color w:val="000000"/>
                <w:sz w:val="24"/>
                <w:szCs w:val="24"/>
                <w:highlight w:val="none"/>
              </w:rPr>
              <w:t xml:space="preserve">经纬度</w:t>
            </w:r>
            <w:r>
              <w:rPr>
                <w:rFonts w:hint="eastAsia" w:ascii="宋体" w:hAnsi="宋体" w:eastAsia="宋体" w:cs="宋体"/>
                <w:b/>
                <w:bCs/>
                <w:color w:val="000000"/>
                <w:sz w:val="24"/>
                <w:szCs w:val="24"/>
                <w:highlight w:val="none"/>
              </w:rPr>
            </w:r>
            <w:r/>
          </w:p>
        </w:tc>
        <w:tc>
          <w:tcPr>
            <w:tcW w:w="1904"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Align="center" w:y="121"/>
            </w:pPr>
            <w:r>
              <w:rPr>
                <w:rFonts w:hint="eastAsia" w:ascii="宋体" w:hAnsi="宋体" w:eastAsia="宋体" w:cs="宋体"/>
                <w:b/>
                <w:bCs/>
                <w:color w:val="000000"/>
                <w:sz w:val="24"/>
                <w:szCs w:val="24"/>
                <w:highlight w:val="none"/>
              </w:rPr>
              <w:t xml:space="preserve">详细地址</w:t>
            </w:r>
            <w:r>
              <w:rPr>
                <w:rFonts w:hint="eastAsia" w:ascii="宋体" w:hAnsi="宋体" w:eastAsia="宋体" w:cs="宋体"/>
                <w:b/>
                <w:bCs/>
                <w:color w:val="000000"/>
                <w:sz w:val="24"/>
                <w:szCs w:val="24"/>
                <w:highlight w:val="none"/>
              </w:rPr>
            </w:r>
            <w:r/>
          </w:p>
        </w:tc>
      </w:tr>
      <w:tr>
        <w:trPr>
          <w:trHeight w:val="938"/>
        </w:trPr>
        <w:tc>
          <w:tcPr>
            <w:tcW w:w="462"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zh-CN" w:eastAsia="zh-CN"/>
              </w:rPr>
            </w:r>
            <w:r/>
          </w:p>
        </w:tc>
        <w:tc>
          <w:tcPr>
            <w:tcW w:w="1089"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zh-CN" w:eastAsia="zh-CN"/>
              </w:rPr>
              <w:t xml:space="preserve">张墅桥</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lang w:val="en-US" w:eastAsia="zh-CN"/>
              </w:rPr>
            </w:r>
            <w:r/>
          </w:p>
        </w:tc>
        <w:tc>
          <w:tcPr>
            <w:tcW w:w="1543"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东经：119°5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北纬：31°</w:t>
            </w: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tc>
        <w:tc>
          <w:tcPr>
            <w:tcW w:w="1904"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en-US" w:eastAsia="zh-CN"/>
              </w:rPr>
              <w:t xml:space="preserve">茶山街道离宫路</w:t>
            </w:r>
            <w:r>
              <w:rPr>
                <w:rFonts w:hint="eastAsia" w:ascii="宋体" w:hAnsi="宋体" w:eastAsia="宋体" w:cs="宋体"/>
                <w:color w:val="000000"/>
                <w:sz w:val="24"/>
                <w:szCs w:val="24"/>
                <w:highlight w:val="none"/>
                <w:lang w:val="zh-CN" w:eastAsia="zh-CN"/>
              </w:rPr>
              <w:t xml:space="preserve">张墅桥</w:t>
            </w:r>
            <w:r>
              <w:rPr>
                <w:rFonts w:hint="eastAsia" w:ascii="宋体" w:hAnsi="宋体" w:eastAsia="宋体" w:cs="宋体"/>
                <w:color w:val="000000"/>
                <w:sz w:val="24"/>
                <w:szCs w:val="24"/>
                <w:highlight w:val="none"/>
                <w:lang w:val="en-US" w:eastAsia="zh-CN"/>
              </w:rPr>
              <w:t xml:space="preserve">南侧</w:t>
            </w:r>
            <w:r>
              <w:rPr>
                <w:rFonts w:hint="eastAsia" w:ascii="宋体" w:hAnsi="宋体" w:eastAsia="宋体" w:cs="宋体"/>
                <w:color w:val="000000"/>
                <w:sz w:val="24"/>
                <w:szCs w:val="24"/>
                <w:highlight w:val="none"/>
                <w:lang w:val="en-US" w:eastAsia="zh-CN"/>
              </w:rPr>
            </w:r>
            <w:r/>
          </w:p>
        </w:tc>
      </w:tr>
      <w:tr>
        <w:trPr>
          <w:trHeight w:val="938"/>
        </w:trPr>
        <w:tc>
          <w:tcPr>
            <w:tcW w:w="462"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089"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zh-CN" w:eastAsia="zh-CN"/>
              </w:rPr>
              <w:t xml:space="preserve">石埝桥</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lang w:val="en-US" w:eastAsia="zh-CN"/>
              </w:rPr>
            </w:r>
            <w:r/>
          </w:p>
        </w:tc>
        <w:tc>
          <w:tcPr>
            <w:tcW w:w="1543"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东经：1</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北纬：31°48'36″</w:t>
            </w:r>
            <w:r>
              <w:rPr>
                <w:rFonts w:hint="eastAsia" w:ascii="宋体" w:hAnsi="宋体" w:eastAsia="宋体" w:cs="宋体"/>
                <w:color w:val="000000"/>
                <w:sz w:val="24"/>
                <w:szCs w:val="24"/>
                <w:highlight w:val="none"/>
                <w:lang w:val="zh-CN" w:eastAsia="zh-CN"/>
              </w:rPr>
            </w:r>
            <w:r/>
          </w:p>
        </w:tc>
        <w:tc>
          <w:tcPr>
            <w:tcW w:w="1904"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en-US" w:eastAsia="zh-CN"/>
              </w:rPr>
              <w:t xml:space="preserve">郑陆镇常焦线</w:t>
            </w:r>
            <w:r>
              <w:rPr>
                <w:rFonts w:hint="eastAsia" w:ascii="宋体" w:hAnsi="宋体" w:eastAsia="宋体" w:cs="宋体"/>
                <w:color w:val="000000"/>
                <w:sz w:val="24"/>
                <w:szCs w:val="24"/>
                <w:highlight w:val="none"/>
                <w:lang w:val="zh-CN" w:eastAsia="zh-CN"/>
              </w:rPr>
              <w:t xml:space="preserve">石埝桥</w:t>
            </w:r>
            <w:r>
              <w:rPr>
                <w:rFonts w:hint="eastAsia" w:ascii="宋体" w:hAnsi="宋体" w:eastAsia="宋体" w:cs="宋体"/>
                <w:color w:val="000000"/>
                <w:sz w:val="24"/>
                <w:szCs w:val="24"/>
                <w:highlight w:val="none"/>
                <w:lang w:val="en-US" w:eastAsia="zh-CN"/>
              </w:rPr>
              <w:t xml:space="preserve">东侧</w:t>
            </w:r>
            <w:r>
              <w:rPr>
                <w:rFonts w:hint="eastAsia" w:ascii="宋体" w:hAnsi="宋体" w:eastAsia="宋体" w:cs="宋体"/>
                <w:color w:val="000000"/>
                <w:sz w:val="24"/>
                <w:szCs w:val="24"/>
                <w:highlight w:val="none"/>
                <w:lang w:val="en-US" w:eastAsia="zh-CN"/>
              </w:rPr>
            </w:r>
            <w:r/>
          </w:p>
        </w:tc>
      </w:tr>
      <w:tr>
        <w:trPr>
          <w:trHeight w:val="938"/>
        </w:trPr>
        <w:tc>
          <w:tcPr>
            <w:tcW w:w="462"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089"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zh-CN" w:eastAsia="zh-CN"/>
              </w:rPr>
              <w:t xml:space="preserve">横方桥</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lang w:val="en-US" w:eastAsia="zh-CN"/>
              </w:rPr>
            </w:r>
            <w:r/>
          </w:p>
        </w:tc>
        <w:tc>
          <w:tcPr>
            <w:tcW w:w="1543"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东经：119°5</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Align="center" w:y="121"/>
            </w:pPr>
            <w:r>
              <w:rPr>
                <w:rFonts w:hint="eastAsia" w:ascii="宋体" w:hAnsi="宋体" w:eastAsia="宋体" w:cs="宋体"/>
                <w:color w:val="000000"/>
                <w:sz w:val="24"/>
                <w:szCs w:val="24"/>
                <w:highlight w:val="none"/>
                <w:lang w:val="zh-CN" w:eastAsia="zh-CN"/>
              </w:rPr>
              <w:t xml:space="preserve">北纬：31°46′</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r>
            <w:r/>
          </w:p>
        </w:tc>
        <w:tc>
          <w:tcPr>
            <w:tcW w:w="1904" w:type="dxa"/>
            <w:vAlign w:val="center"/>
            <w:textDirection w:val="lrTb"/>
            <w:noWrap w:val="false"/>
          </w:tcPr>
          <w:p>
            <w:pPr>
              <w:pStyle w:val="109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framePr w:vAnchor="text" w:hAnchor="page" w:xAlign="center" w:y="121"/>
            </w:pPr>
            <w:r>
              <w:rPr>
                <w:rFonts w:hint="eastAsia" w:ascii="宋体" w:hAnsi="宋体" w:eastAsia="宋体" w:cs="宋体"/>
                <w:color w:val="000000"/>
                <w:sz w:val="24"/>
                <w:szCs w:val="24"/>
                <w:highlight w:val="none"/>
                <w:lang w:val="zh-CN" w:eastAsia="zh-CN"/>
              </w:rPr>
              <w:t xml:space="preserve">青龙街道东方西路横方桥西侧</w:t>
            </w:r>
            <w:r>
              <w:rPr>
                <w:rFonts w:hint="eastAsia" w:ascii="宋体" w:hAnsi="宋体" w:eastAsia="宋体" w:cs="宋体"/>
                <w:color w:val="000000"/>
                <w:sz w:val="24"/>
                <w:szCs w:val="24"/>
                <w:highlight w:val="none"/>
                <w:lang w:val="zh-CN" w:eastAsia="zh-CN"/>
              </w:rPr>
            </w:r>
            <w:r/>
          </w:p>
        </w:tc>
      </w:tr>
    </w:tbl>
    <w:p>
      <w:pPr>
        <w:pStyle w:val="1094"/>
        <w:ind w:firstLine="482"/>
        <w:jc w:val="center"/>
        <w:spacing w:line="360" w:lineRule="auto"/>
        <w:tabs>
          <w:tab w:val="left" w:pos="735" w:leader="none"/>
          <w:tab w:val="left" w:pos="945" w:leader="none"/>
          <w:tab w:val="left" w:pos="1155"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表 2 </w:t>
      </w:r>
      <w:r>
        <w:rPr>
          <w:rFonts w:hint="eastAsia" w:ascii="宋体" w:hAnsi="宋体" w:eastAsia="宋体" w:cs="宋体"/>
          <w:b/>
          <w:bCs/>
          <w:color w:val="000000"/>
          <w:sz w:val="24"/>
          <w:szCs w:val="24"/>
          <w:highlight w:val="none"/>
          <w:lang w:val="en-US" w:eastAsia="zh-CN"/>
        </w:rPr>
        <w:t xml:space="preserve">水质</w:t>
      </w:r>
      <w:r>
        <w:rPr>
          <w:rFonts w:ascii="宋体" w:hAnsi="宋体" w:eastAsia="宋体" w:cs="宋体"/>
          <w:b/>
          <w:bCs/>
          <w:color w:val="000000"/>
          <w:sz w:val="24"/>
          <w:szCs w:val="24"/>
          <w:highlight w:val="none"/>
        </w:rPr>
        <w:t xml:space="preserve">自动监测系统主要设备</w:t>
      </w:r>
      <w:r>
        <w:rPr>
          <w:rFonts w:ascii="宋体" w:hAnsi="宋体" w:eastAsia="宋体" w:cs="宋体"/>
          <w:b/>
          <w:bCs/>
          <w:color w:val="000000"/>
          <w:sz w:val="24"/>
          <w:szCs w:val="24"/>
          <w:highlight w:val="none"/>
        </w:rPr>
      </w:r>
      <w:r/>
    </w:p>
    <w:tbl>
      <w:tblPr>
        <w:tblStyle w:val="1355"/>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9"/>
        <w:gridCol w:w="2286"/>
        <w:gridCol w:w="1050"/>
        <w:gridCol w:w="1725"/>
        <w:gridCol w:w="2370"/>
      </w:tblGrid>
      <w:tr>
        <w:trPr>
          <w:trHeight w:val="477"/>
        </w:trPr>
        <w:tc>
          <w:tcPr>
            <w:tcW w:w="879" w:type="dxa"/>
            <w:vAlign w:val="center"/>
            <w:textDirection w:val="lrTb"/>
            <w:noWrap w:val="false"/>
          </w:tcPr>
          <w:p>
            <w:pPr>
              <w:pStyle w:val="1094"/>
              <w:ind w:firstLine="0"/>
              <w:jc w:val="center"/>
              <w:keepLines w:val="0"/>
              <w:keepNext w:val="0"/>
              <w:pageBreakBefore w:val="0"/>
              <w:spacing w:line="240" w:lineRule="auto"/>
              <w:widowControl w:val="off"/>
              <w:rPr>
                <w:rFonts w:ascii="宋体" w:hAnsi="宋体" w:eastAsia="宋体" w:cs="宋体"/>
                <w:b/>
                <w:bCs/>
                <w:color w:val="000000"/>
                <w:sz w:val="24"/>
                <w:szCs w:val="24"/>
                <w:highlight w:val="none"/>
                <w:lang w:eastAsia="en-US"/>
              </w:rPr>
            </w:pPr>
            <w:r>
              <w:rPr>
                <w:rFonts w:ascii="宋体" w:hAnsi="宋体" w:eastAsia="宋体" w:cs="宋体"/>
                <w:b/>
                <w:bCs/>
                <w:color w:val="000000"/>
                <w:sz w:val="24"/>
                <w:szCs w:val="24"/>
                <w:highlight w:val="none"/>
                <w:lang w:eastAsia="en-US"/>
              </w:rPr>
              <w:t xml:space="preserve">序号</w:t>
            </w:r>
            <w:r>
              <w:rPr>
                <w:rFonts w:ascii="宋体" w:hAnsi="宋体" w:eastAsia="宋体" w:cs="宋体"/>
                <w:b/>
                <w:bCs/>
                <w:color w:val="000000"/>
                <w:sz w:val="24"/>
                <w:szCs w:val="24"/>
                <w:highlight w:val="none"/>
                <w:lang w:eastAsia="en-US"/>
              </w:rPr>
            </w:r>
            <w:r/>
          </w:p>
        </w:tc>
        <w:tc>
          <w:tcPr>
            <w:tcW w:w="2286" w:type="dxa"/>
            <w:vAlign w:val="center"/>
            <w:textDirection w:val="lrTb"/>
            <w:noWrap w:val="false"/>
          </w:tcPr>
          <w:p>
            <w:pPr>
              <w:pStyle w:val="1094"/>
              <w:ind w:firstLine="0"/>
              <w:jc w:val="center"/>
              <w:keepLines w:val="0"/>
              <w:keepNext w:val="0"/>
              <w:pageBreakBefore w:val="0"/>
              <w:spacing w:line="240" w:lineRule="auto"/>
              <w:widowControl w:val="off"/>
              <w:rPr>
                <w:rFonts w:ascii="宋体" w:hAnsi="宋体" w:eastAsia="宋体" w:cs="宋体"/>
                <w:b/>
                <w:bCs/>
                <w:color w:val="000000"/>
                <w:sz w:val="24"/>
                <w:szCs w:val="24"/>
                <w:highlight w:val="none"/>
                <w:lang w:eastAsia="en-US"/>
              </w:rPr>
            </w:pPr>
            <w:r>
              <w:rPr>
                <w:rFonts w:ascii="宋体" w:hAnsi="宋体" w:eastAsia="宋体" w:cs="宋体"/>
                <w:b/>
                <w:bCs/>
                <w:color w:val="000000"/>
                <w:sz w:val="24"/>
                <w:szCs w:val="24"/>
                <w:highlight w:val="none"/>
                <w:lang w:eastAsia="en-US"/>
              </w:rPr>
              <w:t xml:space="preserve">设备名称</w:t>
            </w:r>
            <w:r>
              <w:rPr>
                <w:rFonts w:ascii="宋体" w:hAnsi="宋体" w:eastAsia="宋体" w:cs="宋体"/>
                <w:b/>
                <w:bCs/>
                <w:color w:val="000000"/>
                <w:sz w:val="24"/>
                <w:szCs w:val="24"/>
                <w:highlight w:val="none"/>
                <w:lang w:eastAsia="en-US"/>
              </w:rPr>
            </w:r>
            <w:r/>
          </w:p>
        </w:tc>
        <w:tc>
          <w:tcPr>
            <w:tcW w:w="1050" w:type="dxa"/>
            <w:vAlign w:val="center"/>
            <w:textDirection w:val="lrTb"/>
            <w:noWrap w:val="false"/>
          </w:tcPr>
          <w:p>
            <w:pPr>
              <w:pStyle w:val="1094"/>
              <w:ind w:firstLine="0"/>
              <w:jc w:val="center"/>
              <w:keepLines w:val="0"/>
              <w:keepNext w:val="0"/>
              <w:pageBreakBefore w:val="0"/>
              <w:spacing w:line="240" w:lineRule="auto"/>
              <w:widowControl w:val="off"/>
              <w:rPr>
                <w:rFonts w:ascii="宋体" w:hAnsi="宋体" w:eastAsia="宋体" w:cs="宋体"/>
                <w:b/>
                <w:bCs/>
                <w:color w:val="000000"/>
                <w:sz w:val="24"/>
                <w:szCs w:val="24"/>
                <w:highlight w:val="none"/>
                <w:lang w:eastAsia="en-US"/>
              </w:rPr>
            </w:pPr>
            <w:r>
              <w:rPr>
                <w:rFonts w:ascii="宋体" w:hAnsi="宋体" w:eastAsia="宋体" w:cs="宋体"/>
                <w:b/>
                <w:bCs/>
                <w:color w:val="000000"/>
                <w:sz w:val="24"/>
                <w:szCs w:val="24"/>
                <w:highlight w:val="none"/>
                <w:lang w:eastAsia="en-US"/>
              </w:rPr>
              <w:t xml:space="preserve">数量</w:t>
            </w:r>
            <w:r>
              <w:rPr>
                <w:rFonts w:ascii="宋体" w:hAnsi="宋体" w:eastAsia="宋体" w:cs="宋体"/>
                <w:b/>
                <w:bCs/>
                <w:color w:val="000000"/>
                <w:sz w:val="24"/>
                <w:szCs w:val="24"/>
                <w:highlight w:val="none"/>
                <w:lang w:eastAsia="en-US"/>
              </w:rPr>
            </w:r>
            <w:r/>
          </w:p>
        </w:tc>
        <w:tc>
          <w:tcPr>
            <w:tcW w:w="1725" w:type="dxa"/>
            <w:vAlign w:val="center"/>
            <w:textDirection w:val="lrTb"/>
            <w:noWrap w:val="false"/>
          </w:tcPr>
          <w:p>
            <w:pPr>
              <w:pStyle w:val="1094"/>
              <w:ind w:firstLine="0"/>
              <w:jc w:val="center"/>
              <w:keepLines w:val="0"/>
              <w:keepNext w:val="0"/>
              <w:pageBreakBefore w:val="0"/>
              <w:spacing w:line="240" w:lineRule="auto"/>
              <w:widowControl w:val="off"/>
              <w:rPr>
                <w:rFonts w:ascii="宋体" w:hAnsi="宋体" w:eastAsia="宋体" w:cs="宋体"/>
                <w:b/>
                <w:bCs/>
                <w:color w:val="000000"/>
                <w:sz w:val="24"/>
                <w:szCs w:val="24"/>
                <w:highlight w:val="none"/>
                <w:lang w:eastAsia="en-US"/>
              </w:rPr>
            </w:pPr>
            <w:r>
              <w:rPr>
                <w:rFonts w:ascii="宋体" w:hAnsi="宋体" w:eastAsia="宋体" w:cs="宋体"/>
                <w:b/>
                <w:bCs/>
                <w:color w:val="000000"/>
                <w:sz w:val="24"/>
                <w:szCs w:val="24"/>
                <w:highlight w:val="none"/>
                <w:lang w:eastAsia="en-US"/>
              </w:rPr>
              <w:t xml:space="preserve">品牌</w:t>
            </w:r>
            <w:r>
              <w:rPr>
                <w:rFonts w:ascii="宋体" w:hAnsi="宋体" w:eastAsia="宋体" w:cs="宋体"/>
                <w:b/>
                <w:bCs/>
                <w:color w:val="000000"/>
                <w:sz w:val="24"/>
                <w:szCs w:val="24"/>
                <w:highlight w:val="none"/>
                <w:lang w:eastAsia="en-US"/>
              </w:rPr>
            </w:r>
            <w:r/>
          </w:p>
        </w:tc>
        <w:tc>
          <w:tcPr>
            <w:tcW w:w="2370" w:type="dxa"/>
            <w:vAlign w:val="center"/>
            <w:textDirection w:val="lrTb"/>
            <w:noWrap w:val="false"/>
          </w:tcPr>
          <w:p>
            <w:pPr>
              <w:pStyle w:val="1094"/>
              <w:ind w:firstLine="0"/>
              <w:jc w:val="center"/>
              <w:keepLines w:val="0"/>
              <w:keepNext w:val="0"/>
              <w:pageBreakBefore w:val="0"/>
              <w:spacing w:line="240" w:lineRule="auto"/>
              <w:widowControl w:val="off"/>
              <w:rPr>
                <w:rFonts w:ascii="宋体" w:hAnsi="宋体" w:eastAsia="宋体" w:cs="宋体"/>
                <w:b/>
                <w:bCs/>
                <w:color w:val="000000"/>
                <w:sz w:val="24"/>
                <w:szCs w:val="24"/>
                <w:highlight w:val="none"/>
                <w:lang w:eastAsia="en-US"/>
              </w:rPr>
            </w:pPr>
            <w:r>
              <w:rPr>
                <w:rFonts w:ascii="宋体" w:hAnsi="宋体" w:eastAsia="宋体" w:cs="宋体"/>
                <w:b/>
                <w:bCs/>
                <w:color w:val="000000"/>
                <w:sz w:val="24"/>
                <w:szCs w:val="24"/>
                <w:highlight w:val="none"/>
                <w:lang w:eastAsia="en-US"/>
              </w:rPr>
              <w:t xml:space="preserve">型号</w:t>
            </w:r>
            <w:r>
              <w:rPr>
                <w:rFonts w:ascii="宋体" w:hAnsi="宋体" w:eastAsia="宋体" w:cs="宋体"/>
                <w:b/>
                <w:bCs/>
                <w:color w:val="000000"/>
                <w:sz w:val="24"/>
                <w:szCs w:val="24"/>
                <w:highlight w:val="none"/>
                <w:lang w:eastAsia="en-US"/>
              </w:rPr>
            </w:r>
            <w:r/>
          </w:p>
        </w:tc>
      </w:tr>
      <w:tr>
        <w:trPr>
          <w:trHeight w:val="472"/>
        </w:trPr>
        <w:tc>
          <w:tcPr>
            <w:tcW w:w="879"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t xml:space="preserve">1</w:t>
            </w:r>
            <w:r>
              <w:rPr>
                <w:rFonts w:ascii="Times New Roman" w:hAnsi="Times New Roman" w:eastAsia="宋体" w:cs="Times New Roman"/>
                <w:color w:val="000000"/>
                <w:sz w:val="24"/>
                <w:szCs w:val="24"/>
                <w:highlight w:val="none"/>
                <w:lang w:eastAsia="en-US"/>
              </w:rPr>
            </w:r>
            <w:r/>
          </w:p>
        </w:tc>
        <w:tc>
          <w:tcPr>
            <w:tcW w:w="2286"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五参数水质分析仪</w:t>
            </w:r>
            <w:r>
              <w:rPr>
                <w:rFonts w:ascii="Times New Roman" w:hAnsi="Times New Roman" w:eastAsia="宋体" w:cs="Times New Roman"/>
                <w:color w:val="000000"/>
                <w:sz w:val="24"/>
                <w:szCs w:val="24"/>
                <w:highlight w:val="none"/>
                <w:lang w:eastAsia="en-US"/>
              </w:rPr>
            </w:r>
            <w:r/>
          </w:p>
        </w:tc>
        <w:tc>
          <w:tcPr>
            <w:tcW w:w="1050"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3</w:t>
            </w:r>
            <w:r>
              <w:rPr>
                <w:rFonts w:ascii="Times New Roman" w:hAnsi="Times New Roman" w:eastAsia="宋体" w:cs="Times New Roman"/>
                <w:color w:val="000000"/>
                <w:sz w:val="24"/>
                <w:szCs w:val="24"/>
                <w:highlight w:val="none"/>
                <w:lang w:eastAsia="en-US"/>
              </w:rPr>
            </w:r>
            <w:r/>
          </w:p>
        </w:tc>
        <w:tc>
          <w:tcPr>
            <w:tcW w:w="1725"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lang w:val="zh-CN"/>
              </w:rPr>
              <w:t xml:space="preserve">德国科泽</w:t>
            </w:r>
            <w:r>
              <w:rPr>
                <w:rFonts w:ascii="Times New Roman" w:hAnsi="Times New Roman" w:eastAsia="宋体" w:cs="Times New Roman"/>
                <w:color w:val="000000"/>
                <w:sz w:val="24"/>
                <w:szCs w:val="24"/>
                <w:highlight w:val="none"/>
                <w:lang w:eastAsia="zh-CN"/>
              </w:rPr>
            </w:r>
            <w:r/>
          </w:p>
        </w:tc>
        <w:tc>
          <w:tcPr>
            <w:tcW w:w="2370"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zh-CN"/>
              </w:rPr>
              <w:t xml:space="preserve">K100</w:t>
            </w:r>
            <w:r>
              <w:rPr>
                <w:rFonts w:ascii="Times New Roman" w:hAnsi="Times New Roman" w:eastAsia="宋体" w:cs="Times New Roman"/>
                <w:color w:val="000000"/>
                <w:sz w:val="24"/>
                <w:szCs w:val="24"/>
                <w:highlight w:val="none"/>
                <w:lang w:val="en-US" w:eastAsia="zh-CN"/>
              </w:rPr>
            </w:r>
            <w:r/>
          </w:p>
        </w:tc>
      </w:tr>
      <w:tr>
        <w:trPr>
          <w:trHeight w:val="470"/>
        </w:trPr>
        <w:tc>
          <w:tcPr>
            <w:tcW w:w="879"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r>
            <w:r/>
          </w:p>
        </w:tc>
        <w:tc>
          <w:tcPr>
            <w:tcW w:w="2286"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高锰酸盐指数水质自动分析仪</w:t>
            </w:r>
            <w:r>
              <w:rPr>
                <w:rFonts w:ascii="Times New Roman" w:hAnsi="Times New Roman" w:eastAsia="宋体" w:cs="Times New Roman"/>
                <w:color w:val="000000"/>
                <w:sz w:val="24"/>
                <w:szCs w:val="24"/>
                <w:highlight w:val="none"/>
                <w:lang w:eastAsia="en-US"/>
              </w:rPr>
            </w:r>
            <w:r/>
          </w:p>
        </w:tc>
        <w:tc>
          <w:tcPr>
            <w:tcW w:w="1050"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3</w:t>
            </w:r>
            <w:r>
              <w:rPr>
                <w:rFonts w:ascii="Times New Roman" w:hAnsi="Times New Roman" w:eastAsia="宋体" w:cs="Times New Roman"/>
                <w:color w:val="000000"/>
                <w:sz w:val="24"/>
                <w:szCs w:val="24"/>
                <w:highlight w:val="none"/>
                <w:lang w:eastAsia="en-US"/>
              </w:rPr>
            </w:r>
            <w:r/>
          </w:p>
        </w:tc>
        <w:tc>
          <w:tcPr>
            <w:tcW w:w="1725"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德国科泽</w:t>
            </w:r>
            <w:r>
              <w:rPr>
                <w:rFonts w:ascii="Times New Roman" w:hAnsi="Times New Roman" w:eastAsia="宋体" w:cs="Times New Roman"/>
                <w:color w:val="000000"/>
                <w:sz w:val="24"/>
                <w:szCs w:val="24"/>
                <w:highlight w:val="none"/>
                <w:lang w:eastAsia="en-US"/>
              </w:rPr>
            </w:r>
            <w:r/>
          </w:p>
        </w:tc>
        <w:tc>
          <w:tcPr>
            <w:tcW w:w="2370"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val="en-US" w:eastAsia="zh-CN"/>
              </w:rPr>
              <w:t xml:space="preserve">K301</w:t>
            </w:r>
            <w:r>
              <w:rPr>
                <w:rFonts w:ascii="Times New Roman" w:hAnsi="Times New Roman" w:eastAsia="宋体" w:cs="Times New Roman"/>
                <w:color w:val="000000"/>
                <w:sz w:val="24"/>
                <w:szCs w:val="24"/>
                <w:highlight w:val="none"/>
                <w:lang w:eastAsia="en-US"/>
              </w:rPr>
            </w:r>
            <w:r/>
          </w:p>
        </w:tc>
      </w:tr>
      <w:tr>
        <w:trPr>
          <w:trHeight w:val="472"/>
        </w:trPr>
        <w:tc>
          <w:tcPr>
            <w:tcW w:w="879"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2286"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氨氮水质分析仪</w:t>
            </w:r>
            <w:r>
              <w:rPr>
                <w:rFonts w:ascii="Times New Roman" w:hAnsi="Times New Roman" w:eastAsia="宋体" w:cs="Times New Roman"/>
                <w:color w:val="000000"/>
                <w:sz w:val="24"/>
                <w:szCs w:val="24"/>
                <w:highlight w:val="none"/>
                <w:lang w:eastAsia="en-US"/>
              </w:rPr>
            </w:r>
            <w:r/>
          </w:p>
        </w:tc>
        <w:tc>
          <w:tcPr>
            <w:tcW w:w="1050"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3</w:t>
            </w:r>
            <w:r>
              <w:rPr>
                <w:rFonts w:ascii="Times New Roman" w:hAnsi="Times New Roman" w:eastAsia="宋体" w:cs="Times New Roman"/>
                <w:color w:val="000000"/>
                <w:sz w:val="24"/>
                <w:szCs w:val="24"/>
                <w:highlight w:val="none"/>
                <w:lang w:eastAsia="en-US"/>
              </w:rPr>
            </w:r>
            <w:r/>
          </w:p>
        </w:tc>
        <w:tc>
          <w:tcPr>
            <w:tcW w:w="1725"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德国WTW</w:t>
            </w:r>
            <w:r>
              <w:rPr>
                <w:rFonts w:ascii="Times New Roman" w:hAnsi="Times New Roman" w:eastAsia="宋体" w:cs="Times New Roman"/>
                <w:color w:val="000000"/>
                <w:sz w:val="24"/>
                <w:szCs w:val="24"/>
                <w:highlight w:val="none"/>
                <w:lang w:eastAsia="en-US"/>
              </w:rPr>
            </w:r>
            <w:r/>
          </w:p>
        </w:tc>
        <w:tc>
          <w:tcPr>
            <w:tcW w:w="2370"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TCU/A111</w:t>
            </w:r>
            <w:r>
              <w:rPr>
                <w:rFonts w:ascii="Times New Roman" w:hAnsi="Times New Roman" w:eastAsia="宋体" w:cs="Times New Roman"/>
                <w:color w:val="000000"/>
                <w:sz w:val="24"/>
                <w:szCs w:val="24"/>
                <w:highlight w:val="none"/>
                <w:lang w:eastAsia="en-US"/>
              </w:rPr>
            </w:r>
            <w:r/>
          </w:p>
        </w:tc>
      </w:tr>
      <w:tr>
        <w:trPr>
          <w:trHeight w:val="472"/>
        </w:trPr>
        <w:tc>
          <w:tcPr>
            <w:tcW w:w="879"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c>
          <w:tcPr>
            <w:tcW w:w="2286"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总磷总氮一体机水质分析仪</w:t>
            </w:r>
            <w:r>
              <w:rPr>
                <w:rFonts w:ascii="Times New Roman" w:hAnsi="Times New Roman" w:eastAsia="宋体" w:cs="Times New Roman"/>
                <w:color w:val="000000"/>
                <w:sz w:val="24"/>
                <w:szCs w:val="24"/>
                <w:highlight w:val="none"/>
                <w:lang w:eastAsia="en-US"/>
              </w:rPr>
            </w:r>
            <w:r/>
          </w:p>
        </w:tc>
        <w:tc>
          <w:tcPr>
            <w:tcW w:w="1050"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3</w:t>
            </w:r>
            <w:r>
              <w:rPr>
                <w:rFonts w:ascii="Times New Roman" w:hAnsi="Times New Roman" w:eastAsia="宋体" w:cs="Times New Roman"/>
                <w:color w:val="000000"/>
                <w:sz w:val="24"/>
                <w:szCs w:val="24"/>
                <w:highlight w:val="none"/>
                <w:lang w:eastAsia="en-US"/>
              </w:rPr>
            </w:r>
            <w:r/>
          </w:p>
        </w:tc>
        <w:tc>
          <w:tcPr>
            <w:tcW w:w="1725"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德国BBE</w:t>
            </w:r>
            <w:r>
              <w:rPr>
                <w:rFonts w:ascii="Times New Roman" w:hAnsi="Times New Roman" w:eastAsia="宋体" w:cs="Times New Roman"/>
                <w:color w:val="000000"/>
                <w:sz w:val="24"/>
                <w:szCs w:val="24"/>
                <w:highlight w:val="none"/>
                <w:lang w:eastAsia="en-US"/>
              </w:rPr>
            </w:r>
            <w:r/>
          </w:p>
        </w:tc>
        <w:tc>
          <w:tcPr>
            <w:tcW w:w="2370"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TP</w:t>
            </w:r>
            <w:r>
              <w:rPr>
                <w:rFonts w:ascii="Times New Roman" w:hAnsi="Times New Roman" w:cs="Times New Roman"/>
                <w:color w:val="000000"/>
                <w:sz w:val="24"/>
                <w:szCs w:val="24"/>
                <w:highlight w:val="none"/>
                <w:lang w:val="en-US" w:eastAsia="zh-CN"/>
              </w:rPr>
              <w:t xml:space="preserve">+TN</w:t>
            </w:r>
            <w:r>
              <w:rPr>
                <w:rFonts w:ascii="Times New Roman" w:hAnsi="Times New Roman" w:cs="Times New Roman"/>
                <w:color w:val="000000"/>
                <w:sz w:val="24"/>
                <w:szCs w:val="24"/>
                <w:highlight w:val="none"/>
              </w:rPr>
              <w:t xml:space="preserve">-PWRⅡ</w:t>
            </w:r>
            <w:r>
              <w:rPr>
                <w:rFonts w:ascii="Times New Roman" w:hAnsi="Times New Roman" w:eastAsia="宋体" w:cs="Times New Roman"/>
                <w:color w:val="000000"/>
                <w:sz w:val="24"/>
                <w:szCs w:val="24"/>
                <w:highlight w:val="none"/>
                <w:lang w:eastAsia="en-US"/>
              </w:rPr>
            </w:r>
            <w:r/>
          </w:p>
        </w:tc>
      </w:tr>
      <w:tr>
        <w:trPr>
          <w:trHeight w:val="473"/>
        </w:trPr>
        <w:tc>
          <w:tcPr>
            <w:tcW w:w="879"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eastAsia="zh-CN"/>
              </w:rPr>
            </w:r>
            <w:r/>
          </w:p>
        </w:tc>
        <w:tc>
          <w:tcPr>
            <w:tcW w:w="2286"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lang w:val="zh-CN"/>
              </w:rPr>
              <w:t xml:space="preserve">流量计</w:t>
            </w:r>
            <w:r>
              <w:rPr>
                <w:rFonts w:ascii="Times New Roman" w:hAnsi="Times New Roman" w:eastAsia="宋体" w:cs="Times New Roman"/>
                <w:color w:val="000000"/>
                <w:sz w:val="24"/>
                <w:szCs w:val="24"/>
                <w:highlight w:val="none"/>
                <w:lang w:eastAsia="en-US"/>
              </w:rPr>
            </w:r>
            <w:r/>
          </w:p>
        </w:tc>
        <w:tc>
          <w:tcPr>
            <w:tcW w:w="1050"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2</w:t>
            </w:r>
            <w:r>
              <w:rPr>
                <w:rFonts w:ascii="Times New Roman" w:hAnsi="Times New Roman" w:eastAsia="宋体" w:cs="Times New Roman"/>
                <w:color w:val="000000"/>
                <w:sz w:val="24"/>
                <w:szCs w:val="24"/>
                <w:highlight w:val="none"/>
                <w:lang w:eastAsia="en-US"/>
              </w:rPr>
            </w:r>
            <w:r/>
          </w:p>
        </w:tc>
        <w:tc>
          <w:tcPr>
            <w:tcW w:w="1725" w:type="dxa"/>
            <w:vAlign w:val="center"/>
            <w:textDirection w:val="lrTb"/>
            <w:noWrap w:val="false"/>
          </w:tcPr>
          <w:p>
            <w:pPr>
              <w:pStyle w:val="1094"/>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杭州利声</w:t>
            </w:r>
            <w:r>
              <w:rPr>
                <w:rFonts w:ascii="Times New Roman" w:hAnsi="Times New Roman" w:eastAsia="宋体" w:cs="Times New Roman"/>
                <w:color w:val="000000"/>
                <w:sz w:val="24"/>
                <w:szCs w:val="24"/>
                <w:highlight w:val="none"/>
                <w:lang w:eastAsia="en-US"/>
              </w:rPr>
            </w:r>
            <w:r/>
          </w:p>
        </w:tc>
        <w:tc>
          <w:tcPr>
            <w:tcW w:w="2370" w:type="dxa"/>
            <w:vAlign w:val="center"/>
            <w:textDirection w:val="lrTb"/>
            <w:noWrap w:val="false"/>
          </w:tcPr>
          <w:p>
            <w:pPr>
              <w:pStyle w:val="1094"/>
              <w:ind w:firstLine="0"/>
              <w:jc w:val="center"/>
              <w:keepLines w:val="0"/>
              <w:keepNext w:val="0"/>
              <w:pageBreakBefore w:val="0"/>
              <w:spacing w:line="360" w:lineRule="auto"/>
              <w:widowControl w:val="off"/>
              <w:rPr>
                <w:rFonts w:ascii="Times New Roman" w:hAnsi="Times New Roman" w:eastAsia="宋体" w:cs="Times New Roman"/>
                <w:color w:val="000000"/>
                <w:sz w:val="24"/>
                <w:szCs w:val="24"/>
                <w:highlight w:val="none"/>
                <w:lang w:eastAsia="en-US"/>
              </w:rPr>
            </w:pPr>
            <w:r>
              <w:rPr>
                <w:rFonts w:ascii="Times New Roman" w:hAnsi="Times New Roman" w:cs="Times New Roman"/>
                <w:color w:val="000000"/>
                <w:sz w:val="24"/>
                <w:szCs w:val="24"/>
                <w:highlight w:val="none"/>
              </w:rPr>
              <w:t xml:space="preserve">LS-HD600</w:t>
            </w:r>
            <w:r>
              <w:rPr>
                <w:rFonts w:ascii="Times New Roman" w:hAnsi="Times New Roman" w:eastAsia="宋体" w:cs="Times New Roman"/>
                <w:color w:val="000000"/>
                <w:sz w:val="24"/>
                <w:szCs w:val="24"/>
                <w:highlight w:val="none"/>
                <w:lang w:eastAsia="en-US"/>
              </w:rPr>
            </w:r>
            <w:r/>
          </w:p>
        </w:tc>
      </w:tr>
    </w:tbl>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B.服务要求（包含但不局限于以下要求）</w:t>
      </w:r>
      <w:r>
        <w:rPr>
          <w:rFonts w:ascii="宋体" w:hAnsi="宋体" w:eastAsia="宋体" w:cs="宋体"/>
          <w:b w:val="0"/>
          <w:bCs/>
          <w:color w:val="000000"/>
          <w:sz w:val="24"/>
          <w:szCs w:val="24"/>
          <w:highlight w:val="none"/>
          <w:lang w:val="en-US" w:eastAsia="zh-CN"/>
        </w:rPr>
      </w:r>
      <w:r/>
    </w:p>
    <w:p>
      <w:pPr>
        <w:pStyle w:val="1094"/>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1.根据工作内容，</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在报价中应包含表</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所列各部分工作的费用（报价应包含且不限于以下各部分工作费用）：</w:t>
      </w:r>
      <w:r>
        <w:rPr>
          <w:rFonts w:hint="eastAsia" w:ascii="宋体" w:hAnsi="宋体" w:cs="宋体"/>
          <w:color w:val="000000"/>
          <w:sz w:val="24"/>
          <w:highlight w:val="none"/>
        </w:rPr>
      </w:r>
      <w:r/>
    </w:p>
    <w:p>
      <w:pPr>
        <w:pStyle w:val="1094"/>
        <w:jc w:val="center"/>
        <w:spacing w:before="35" w:line="218" w:lineRule="auto"/>
        <w:rPr>
          <w:rFonts w:ascii="宋体" w:hAnsi="宋体" w:cs="宋体"/>
          <w:color w:val="000000"/>
          <w:sz w:val="24"/>
          <w:highlight w:val="none"/>
        </w:rPr>
      </w:pPr>
      <w:r>
        <w:rPr>
          <w:rFonts w:ascii="宋体" w:hAnsi="宋体" w:cs="宋体"/>
          <w:b/>
          <w:bCs/>
          <w:color w:val="000000"/>
          <w:spacing w:val="-4"/>
          <w:sz w:val="24"/>
          <w:highlight w:val="none"/>
        </w:rPr>
        <w:t xml:space="preserve">表</w:t>
      </w:r>
      <w:r>
        <w:rPr>
          <w:rFonts w:ascii="宋体" w:hAnsi="宋体" w:cs="宋体"/>
          <w:color w:val="000000"/>
          <w:spacing w:val="-42"/>
          <w:sz w:val="24"/>
          <w:highlight w:val="none"/>
        </w:rPr>
        <w:t xml:space="preserve"> </w:t>
      </w:r>
      <w:r>
        <w:rPr>
          <w:rFonts w:ascii="宋体" w:hAnsi="宋体" w:cs="宋体"/>
          <w:b/>
          <w:bCs/>
          <w:color w:val="000000"/>
          <w:spacing w:val="-4"/>
          <w:sz w:val="24"/>
          <w:highlight w:val="none"/>
        </w:rPr>
        <w:t xml:space="preserve">3</w:t>
      </w:r>
      <w:r>
        <w:rPr>
          <w:rFonts w:ascii="宋体" w:hAnsi="宋体" w:cs="宋体"/>
          <w:color w:val="000000"/>
          <w:spacing w:val="-4"/>
          <w:sz w:val="24"/>
          <w:highlight w:val="none"/>
        </w:rPr>
        <w:t xml:space="preserve"> </w:t>
      </w:r>
      <w:r>
        <w:rPr>
          <w:rFonts w:ascii="宋体" w:hAnsi="宋体" w:cs="宋体"/>
          <w:b/>
          <w:bCs/>
          <w:color w:val="000000"/>
          <w:spacing w:val="-4"/>
          <w:sz w:val="24"/>
          <w:highlight w:val="none"/>
        </w:rPr>
        <w:t xml:space="preserve">报价应含工作费用</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096"/>
        <w:gridCol w:w="4296"/>
      </w:tblGrid>
      <w:tr>
        <w:trPr/>
        <w:tc>
          <w:tcPr>
            <w:tcW w:w="698" w:type="dxa"/>
            <w:vAlign w:val="center"/>
            <w:textDirection w:val="lrTb"/>
            <w:noWrap w:val="false"/>
          </w:tcPr>
          <w:p>
            <w:pPr>
              <w:pStyle w:val="1094"/>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3096" w:type="dxa"/>
            <w:vAlign w:val="center"/>
            <w:textDirection w:val="lrTb"/>
            <w:noWrap w:val="false"/>
          </w:tcPr>
          <w:p>
            <w:pPr>
              <w:pStyle w:val="1094"/>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服务项目</w:t>
            </w:r>
            <w:r>
              <w:rPr>
                <w:rFonts w:ascii="宋体" w:hAnsi="宋体" w:cs="宋体"/>
                <w:b/>
                <w:color w:val="000000"/>
                <w:sz w:val="24"/>
                <w:highlight w:val="none"/>
              </w:rPr>
            </w:r>
            <w:r/>
          </w:p>
        </w:tc>
        <w:tc>
          <w:tcPr>
            <w:tcW w:w="4296" w:type="dxa"/>
            <w:vAlign w:val="center"/>
            <w:textDirection w:val="lrTb"/>
            <w:noWrap w:val="false"/>
          </w:tcPr>
          <w:p>
            <w:pPr>
              <w:pStyle w:val="1094"/>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备  注</w:t>
            </w:r>
            <w:r>
              <w:rPr>
                <w:rFonts w:ascii="宋体" w:hAnsi="宋体" w:cs="宋体"/>
                <w:b/>
                <w:color w:val="000000"/>
                <w:sz w:val="24"/>
                <w:highlight w:val="none"/>
              </w:rPr>
            </w:r>
            <w:r/>
          </w:p>
        </w:tc>
      </w:tr>
      <w:tr>
        <w:trPr/>
        <w:tc>
          <w:tcPr>
            <w:tcW w:w="698"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30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各分析仪药剂费、消耗品费</w:t>
            </w:r>
            <w:r>
              <w:rPr>
                <w:rFonts w:ascii="宋体" w:hAnsi="宋体" w:cs="宋体"/>
                <w:bCs/>
                <w:color w:val="000000"/>
                <w:sz w:val="24"/>
                <w:highlight w:val="none"/>
              </w:rPr>
            </w:r>
            <w:r/>
          </w:p>
        </w:tc>
        <w:tc>
          <w:tcPr>
            <w:tcW w:w="42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设备常规药剂、消耗品</w:t>
            </w:r>
            <w:r>
              <w:rPr>
                <w:rFonts w:ascii="宋体" w:hAnsi="宋体" w:cs="宋体"/>
                <w:bCs/>
                <w:color w:val="000000"/>
                <w:sz w:val="24"/>
                <w:highlight w:val="none"/>
              </w:rPr>
            </w:r>
            <w:r/>
          </w:p>
        </w:tc>
      </w:tr>
      <w:tr>
        <w:trPr/>
        <w:tc>
          <w:tcPr>
            <w:tcW w:w="698"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30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社会化运行维护费</w:t>
            </w:r>
            <w:r>
              <w:rPr>
                <w:rFonts w:ascii="宋体" w:hAnsi="宋体" w:cs="宋体"/>
                <w:bCs/>
                <w:color w:val="000000"/>
                <w:sz w:val="24"/>
                <w:highlight w:val="none"/>
              </w:rPr>
            </w:r>
            <w:r/>
          </w:p>
        </w:tc>
        <w:tc>
          <w:tcPr>
            <w:tcW w:w="42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含维护过程产生的人工费、差旅费等</w:t>
            </w:r>
            <w:r>
              <w:rPr>
                <w:rFonts w:ascii="宋体" w:hAnsi="宋体" w:cs="宋体"/>
                <w:bCs/>
                <w:color w:val="000000"/>
                <w:sz w:val="24"/>
                <w:highlight w:val="none"/>
              </w:rPr>
            </w:r>
            <w:r/>
          </w:p>
        </w:tc>
      </w:tr>
      <w:tr>
        <w:trPr/>
        <w:tc>
          <w:tcPr>
            <w:tcW w:w="698"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r>
            <w:r/>
          </w:p>
        </w:tc>
        <w:tc>
          <w:tcPr>
            <w:tcW w:w="30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设备维修费</w:t>
            </w:r>
            <w:r>
              <w:rPr>
                <w:rFonts w:ascii="宋体" w:hAnsi="宋体" w:cs="宋体"/>
                <w:bCs/>
                <w:color w:val="000000"/>
                <w:sz w:val="24"/>
                <w:highlight w:val="none"/>
              </w:rPr>
            </w:r>
            <w:r/>
          </w:p>
        </w:tc>
        <w:tc>
          <w:tcPr>
            <w:tcW w:w="42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根据维护经验，计算设备日常维修费用</w:t>
            </w:r>
            <w:r>
              <w:rPr>
                <w:rFonts w:ascii="宋体" w:hAnsi="宋体" w:cs="宋体"/>
                <w:bCs/>
                <w:color w:val="000000"/>
                <w:sz w:val="24"/>
                <w:highlight w:val="none"/>
              </w:rPr>
            </w:r>
            <w:r/>
          </w:p>
        </w:tc>
      </w:tr>
      <w:tr>
        <w:trPr/>
        <w:tc>
          <w:tcPr>
            <w:tcW w:w="698"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r>
            <w:r/>
          </w:p>
        </w:tc>
        <w:tc>
          <w:tcPr>
            <w:tcW w:w="30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标准物质等测试质量控制费</w:t>
            </w:r>
            <w:r>
              <w:rPr>
                <w:rFonts w:ascii="宋体" w:hAnsi="宋体" w:cs="宋体"/>
                <w:bCs/>
                <w:color w:val="000000"/>
                <w:sz w:val="24"/>
                <w:highlight w:val="none"/>
              </w:rPr>
            </w:r>
            <w:r/>
          </w:p>
        </w:tc>
        <w:tc>
          <w:tcPr>
            <w:tcW w:w="429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质量控制工作产生的费用</w:t>
            </w:r>
            <w:r>
              <w:rPr>
                <w:rFonts w:ascii="宋体" w:hAnsi="宋体" w:cs="宋体"/>
                <w:bCs/>
                <w:color w:val="000000"/>
                <w:sz w:val="24"/>
                <w:highlight w:val="none"/>
              </w:rPr>
            </w:r>
            <w:r/>
          </w:p>
        </w:tc>
      </w:tr>
    </w:tbl>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成交供应商应具备完善的系统配件、仪表配件供应渠道。成交供应商应列明在线监测仪器运营期间各项费用的预算开支。成交供应商须提供完整的水质自动站在线监测仪器运行维护实施方案（包括应急事故处理方案等）。明确维护方法、周期、响应时间、内容和技术保障。</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在水质自动站运行维护期间，成交供应商不得以任何形式外包合同规定的运行维护任务。不论何时，成交供应商都须承担监测数据的保密责任；成交供应商按照采购人的要求，进行报告和传输有关的监测数据；未经采购人许可不得以任何方式和渠道向外界传递任何监测数据，否则采购人有权终止合同，并追究成交供应商相关法律责任。不论何时，成交供应商无权将采购人的任何资产进行对外投资、合作、经济担保及资产抵押。</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4.成交供应商须配置充足的水质自动站的分析仪表备用机，在水质自动站仪器仪表发生故障且</w:t>
      </w:r>
      <w:r>
        <w:rPr>
          <w:rFonts w:hint="eastAsia" w:ascii="宋体" w:hAnsi="宋体" w:cs="宋体"/>
          <w:bCs/>
          <w:color w:val="000000"/>
          <w:sz w:val="24"/>
          <w:highlight w:val="none"/>
          <w:lang w:val="en-US" w:eastAsia="zh-CN"/>
        </w:rPr>
        <w:t xml:space="preserve">48</w:t>
      </w:r>
      <w:r>
        <w:rPr>
          <w:rFonts w:hint="eastAsia" w:ascii="宋体" w:hAnsi="宋体" w:cs="宋体"/>
          <w:bCs/>
          <w:color w:val="000000"/>
          <w:sz w:val="24"/>
          <w:highlight w:val="none"/>
        </w:rPr>
        <w:t xml:space="preserve">小时不能修复时，须用备机替代工作。成交供应商应具有水质自动站常规五参数（PH、电导率、溶解氧、浊度、水温）的便携式仪器（中标后明确提供），并在需要时用于水质自动站的比对考核。成交供应商具备试剂配制、标样考核（成交供应商自控）及比对分析能力要求。</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5.水质自动站的运维管理要求</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在运行维护期间，成交供应商必须遵守国家的有关法律法规及其他规定，本着为采购人负责的精神，依照规范，科学管理，使各监测监控系统运行达到国家及行业颁布的技术标准和采购人要求的考核指标要求；使水质自动站系统运行真正发挥其效能和作用。</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5.1成交供应商应提供、配制并定期更换水质自动站仪表所需试剂、气体和标样，并承担相应费用。</w:t>
      </w:r>
      <w:r>
        <w:rPr>
          <w:rFonts w:ascii="宋体" w:hAnsi="宋体" w:cs="宋体"/>
          <w:bCs/>
          <w:color w:val="000000"/>
          <w:sz w:val="24"/>
          <w:highlight w:val="none"/>
        </w:rPr>
      </w:r>
      <w:r/>
    </w:p>
    <w:p>
      <w:pPr>
        <w:pStyle w:val="1094"/>
        <w:ind w:right="210"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5.2成交供应商应提供并定期更换水质自动站系统和仪表所需备品备件，并承担相应费用。</w:t>
      </w:r>
      <w:r>
        <w:rPr>
          <w:rFonts w:ascii="宋体" w:hAnsi="宋体" w:cs="宋体"/>
          <w:bCs/>
          <w:color w:val="000000"/>
          <w:sz w:val="24"/>
          <w:highlight w:val="none"/>
        </w:rPr>
      </w:r>
      <w:r/>
    </w:p>
    <w:p>
      <w:pPr>
        <w:pStyle w:val="1094"/>
        <w:ind w:right="210" w:firstLine="480"/>
        <w:jc w:val="left"/>
        <w:spacing w:line="360" w:lineRule="auto"/>
        <w:rPr>
          <w:rFonts w:ascii="宋体" w:hAnsi="宋体" w:cs="宋体"/>
          <w:b/>
          <w:color w:val="000000"/>
          <w:sz w:val="24"/>
          <w:highlight w:val="none"/>
        </w:rPr>
      </w:pPr>
      <w:r>
        <w:rPr>
          <w:rFonts w:hint="eastAsia" w:ascii="宋体" w:hAnsi="宋体" w:cs="宋体"/>
          <w:bCs/>
          <w:color w:val="000000"/>
          <w:sz w:val="24"/>
          <w:highlight w:val="none"/>
        </w:rPr>
        <w:t xml:space="preserve">5.3成交供应商应对水质自动站系统和仪表进行定期检修、维护保养。</w:t>
      </w:r>
      <w:r>
        <w:rPr>
          <w:rFonts w:ascii="宋体" w:hAnsi="宋体" w:cs="宋体"/>
          <w:b/>
          <w:color w:val="000000"/>
          <w:sz w:val="24"/>
          <w:highlight w:val="none"/>
        </w:rPr>
      </w:r>
      <w:r/>
    </w:p>
    <w:p>
      <w:pPr>
        <w:pStyle w:val="1094"/>
        <w:ind w:right="210" w:firstLine="480"/>
        <w:jc w:val="both"/>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5.4</w:t>
      </w:r>
      <w:r>
        <w:rPr>
          <w:rFonts w:hint="eastAsia" w:ascii="宋体" w:hAnsi="宋体" w:eastAsia="宋体" w:cs="宋体"/>
          <w:bCs/>
          <w:color w:val="000000"/>
          <w:sz w:val="24"/>
          <w:highlight w:val="none"/>
        </w:rPr>
        <w:t xml:space="preserve">成交供应商严格按照《地表水自动监测技术规范（试行）》(HJ 915-2017)</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《国家地表水自动监测站运行管理办法》</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《国家地表水水质自动监测站运行维护管理实施细则（试行）》</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《地表水水质自动监测站运行维护技术要求（试行）》</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《pH水质自动分析仪技术要求》（HJ/T96-2003）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《电导率水质自动分析仪技术要求》（HJ/T97-2003）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《浊度水质自动分析仪技术要求》（HJ/T98-2003）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《高锰酸盐指数水质自动分析仪技术要求》（HJ/T100-2003）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《总磷水质自动分析仪技术要求》（HJ/T 103-2003）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《总氮水质自动分析仪技术要求》（HJ/T 102-2003）</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《氨氮水质在线自动监测仪技术要求及检测方法》（HJ/T 101-2019）</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《超声波流量计》（SL 337-2006）等现行有效的国家技术规范开展本项目工作。</w:t>
      </w:r>
      <w:r>
        <w:rPr>
          <w:rFonts w:hint="eastAsia" w:ascii="宋体" w:hAnsi="宋体" w:eastAsia="宋体" w:cs="宋体"/>
          <w:bCs/>
          <w:color w:val="000000"/>
          <w:sz w:val="24"/>
          <w:highlight w:val="none"/>
        </w:rPr>
      </w:r>
      <w:r/>
    </w:p>
    <w:p>
      <w:pPr>
        <w:pStyle w:val="1094"/>
        <w:ind w:right="210" w:firstLine="480"/>
        <w:jc w:val="left"/>
        <w:spacing w:line="360" w:lineRule="auto"/>
        <w:rPr>
          <w:color w:val="000000"/>
          <w:highlight w:val="none"/>
        </w:rPr>
      </w:pPr>
      <w:r>
        <w:rPr>
          <w:rFonts w:hint="eastAsia" w:ascii="宋体" w:hAnsi="宋体" w:cs="宋体"/>
          <w:bCs/>
          <w:color w:val="000000"/>
          <w:sz w:val="24"/>
          <w:highlight w:val="none"/>
          <w:lang w:val="en-US" w:eastAsia="zh-CN"/>
        </w:rPr>
        <w:t xml:space="preserve">5.5</w:t>
      </w:r>
      <w:r>
        <w:rPr>
          <w:rFonts w:hint="eastAsia" w:ascii="宋体" w:hAnsi="宋体" w:cs="宋体"/>
          <w:bCs/>
          <w:color w:val="000000"/>
          <w:sz w:val="24"/>
          <w:highlight w:val="none"/>
        </w:rPr>
        <w:t xml:space="preserve">水质自动站运行维护内容及要求一览表</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026"/>
        <w:gridCol w:w="1570"/>
        <w:gridCol w:w="5176"/>
      </w:tblGrid>
      <w:tr>
        <w:trPr>
          <w:trHeight w:val="533"/>
          <w:tblHeader/>
        </w:trPr>
        <w:tc>
          <w:tcPr>
            <w:tcW w:w="747"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1026" w:type="dxa"/>
            <w:vAlign w:val="center"/>
            <w:textDirection w:val="lrTb"/>
            <w:noWrap w:val="false"/>
          </w:tcPr>
          <w:p>
            <w:pPr>
              <w:pStyle w:val="1094"/>
              <w:jc w:val="center"/>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运维频次</w:t>
            </w:r>
            <w:r>
              <w:rPr>
                <w:rFonts w:ascii="宋体" w:hAnsi="宋体" w:eastAsia="宋体" w:cs="宋体"/>
                <w:bCs/>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维护内容</w:t>
            </w:r>
            <w:r>
              <w:rPr>
                <w:rFonts w:ascii="宋体" w:hAnsi="宋体" w:cs="宋体"/>
                <w:bCs/>
                <w:color w:val="000000"/>
                <w:sz w:val="24"/>
                <w:highlight w:val="none"/>
              </w:rPr>
            </w:r>
            <w:r/>
          </w:p>
        </w:tc>
        <w:tc>
          <w:tcPr>
            <w:tcW w:w="5176" w:type="dxa"/>
            <w:vAlign w:val="center"/>
            <w:textDirection w:val="lrTb"/>
            <w:noWrap w:val="false"/>
          </w:tcPr>
          <w:p>
            <w:pPr>
              <w:pStyle w:val="109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维护要求</w:t>
            </w:r>
            <w:r>
              <w:rPr>
                <w:rFonts w:ascii="宋体" w:hAnsi="宋体" w:cs="宋体"/>
                <w:bCs/>
                <w:color w:val="000000"/>
                <w:sz w:val="24"/>
                <w:highlight w:val="none"/>
              </w:rPr>
            </w:r>
            <w:r/>
          </w:p>
        </w:tc>
      </w:tr>
      <w:tr>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ascii="宋体" w:hAnsi="宋体" w:cs="宋体"/>
                <w:color w:val="000000"/>
                <w:sz w:val="24"/>
                <w:highlight w:val="none"/>
                <w:lang w:val="en-US" w:eastAsia="zh-CN"/>
              </w:rPr>
            </w:r>
            <w:r/>
          </w:p>
        </w:tc>
        <w:tc>
          <w:tcPr>
            <w:tcW w:w="1026"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每日</w:t>
            </w:r>
            <w:r>
              <w:rPr>
                <w:rFonts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远程巡视</w:t>
            </w:r>
            <w:r>
              <w:rPr>
                <w:rFonts w:ascii="宋体" w:hAnsi="宋体" w:cs="宋体"/>
                <w:color w:val="000000"/>
                <w:sz w:val="24"/>
                <w:highlight w:val="none"/>
                <w:lang w:val="en-US" w:eastAsia="zh-CN"/>
              </w:rPr>
            </w:r>
            <w:r/>
          </w:p>
        </w:tc>
        <w:tc>
          <w:tcPr>
            <w:tcW w:w="5176" w:type="dxa"/>
            <w:vAlign w:val="center"/>
            <w:textDirection w:val="lrTb"/>
            <w:noWrap w:val="false"/>
          </w:tcPr>
          <w:p>
            <w:pPr>
              <w:pStyle w:val="1213"/>
              <w:numPr>
                <w:ilvl w:val="0"/>
                <w:numId w:val="1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通过地表水水质自动监测数据平台数据查看、视频监控等手段远程查看地表水水质自动监测站运行状况</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每天不少于4次。</w:t>
            </w:r>
            <w:r>
              <w:rPr>
                <w:rFonts w:hint="eastAsia" w:ascii="宋体" w:hAnsi="宋体" w:cs="宋体"/>
                <w:b w:val="0"/>
                <w:bCs/>
                <w:color w:val="000000"/>
                <w:sz w:val="24"/>
                <w:szCs w:val="24"/>
                <w:highlight w:val="none"/>
              </w:rPr>
            </w:r>
            <w:r/>
          </w:p>
        </w:tc>
      </w:tr>
      <w:tr>
        <w:trPr/>
        <w:tc>
          <w:tcPr>
            <w:tcW w:w="747" w:type="dxa"/>
            <w:vAlign w:val="center"/>
            <w:textDirection w:val="lrTb"/>
            <w:noWrap w:val="false"/>
          </w:tcPr>
          <w:p>
            <w:pPr>
              <w:pStyle w:val="1094"/>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W w:w="1026" w:type="dxa"/>
            <w:vAlign w:val="center"/>
            <w:vMerge w:val="restart"/>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每周</w:t>
            </w:r>
            <w:r>
              <w:rPr>
                <w:rFonts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采样环境检查</w:t>
            </w:r>
            <w:r>
              <w:rPr>
                <w:rFonts w:ascii="宋体" w:hAnsi="宋体" w:eastAsia="宋体" w:cs="宋体"/>
                <w:color w:val="000000"/>
                <w:sz w:val="24"/>
                <w:highlight w:val="none"/>
                <w:lang w:val="en-US" w:eastAsia="zh-CN"/>
              </w:rPr>
            </w:r>
            <w:r/>
          </w:p>
        </w:tc>
        <w:tc>
          <w:tcPr>
            <w:tcW w:w="5176" w:type="dxa"/>
            <w:vAlign w:val="center"/>
            <w:textDirection w:val="lrTb"/>
            <w:noWrap w:val="false"/>
          </w:tcPr>
          <w:p>
            <w:pPr>
              <w:pStyle w:val="1213"/>
              <w:numPr>
                <w:ilvl w:val="0"/>
                <w:numId w:val="1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检查采水点周边环境，记录水体颜色、嗅味、流向、水位变化等情况，及时清理漂浮物等杂物；</w:t>
            </w:r>
            <w:r>
              <w:rPr>
                <w:rFonts w:hint="eastAsia" w:ascii="宋体" w:hAnsi="宋体" w:cs="宋体"/>
                <w:b w:val="0"/>
                <w:bCs/>
                <w:color w:val="000000"/>
                <w:sz w:val="24"/>
                <w:szCs w:val="24"/>
                <w:highlight w:val="none"/>
              </w:rPr>
            </w:r>
            <w:r/>
          </w:p>
          <w:p>
            <w:pPr>
              <w:pStyle w:val="1213"/>
              <w:numPr>
                <w:ilvl w:val="0"/>
                <w:numId w:val="12"/>
              </w:numPr>
              <w:contextualSpacing/>
              <w:keepLines w:val="0"/>
              <w:keepNext w:val="0"/>
              <w:pageBreakBefore w:val="0"/>
              <w:spacing w:line="400" w:lineRule="exact"/>
              <w:rPr>
                <w:rFonts w:hint="eastAsia" w:ascii="宋体" w:hAnsi="宋体" w:cs="宋体"/>
                <w:color w:val="000000"/>
                <w:sz w:val="24"/>
                <w:highlight w:val="none"/>
              </w:rPr>
            </w:pPr>
            <w:r>
              <w:rPr>
                <w:rFonts w:hint="eastAsia" w:ascii="宋体" w:hAnsi="宋体" w:cs="宋体"/>
                <w:b w:val="0"/>
                <w:bCs/>
                <w:color w:val="000000"/>
                <w:sz w:val="24"/>
                <w:szCs w:val="24"/>
                <w:highlight w:val="none"/>
              </w:rPr>
              <w:t xml:space="preserve">当水位发生较大变化时应调整采水口位置以保障采水正常；在封冻期前做好采排水管路保温等维护工作；对季节性断流、河道改变明显的断面水站采水系统进行加固、调整采水泵，保证采水系统在任何情况下均正常采水；</w:t>
            </w:r>
            <w:r>
              <w:rPr>
                <w:rFonts w:hint="eastAsia" w:ascii="宋体" w:hAnsi="宋体" w:cs="宋体"/>
                <w:color w:val="000000"/>
                <w:sz w:val="24"/>
                <w:highlight w:val="none"/>
              </w:rPr>
            </w:r>
            <w:r/>
          </w:p>
          <w:p>
            <w:pPr>
              <w:pStyle w:val="1213"/>
              <w:numPr>
                <w:ilvl w:val="0"/>
                <w:numId w:val="12"/>
              </w:numPr>
              <w:contextualSpacing/>
              <w:keepLines w:val="0"/>
              <w:keepNext w:val="0"/>
              <w:pageBreakBefore w:val="0"/>
              <w:spacing w:line="400" w:lineRule="exact"/>
              <w:rPr>
                <w:rFonts w:hint="eastAsia" w:ascii="宋体" w:hAnsi="宋体" w:cs="宋体"/>
                <w:color w:val="000000"/>
                <w:sz w:val="24"/>
                <w:highlight w:val="none"/>
              </w:rPr>
            </w:pPr>
            <w:r>
              <w:rPr>
                <w:rFonts w:hint="eastAsia" w:ascii="宋体" w:hAnsi="宋体" w:cs="宋体"/>
                <w:b w:val="0"/>
                <w:bCs/>
                <w:color w:val="000000"/>
                <w:sz w:val="24"/>
                <w:szCs w:val="24"/>
                <w:highlight w:val="none"/>
              </w:rPr>
              <w:t xml:space="preserve">通过回看视频确认采水设施、站房是否存在异常情况；</w:t>
            </w:r>
            <w:r>
              <w:rPr>
                <w:rFonts w:hint="eastAsia" w:ascii="宋体" w:hAnsi="宋体" w:cs="宋体"/>
                <w:color w:val="000000"/>
                <w:sz w:val="24"/>
                <w:highlight w:val="none"/>
              </w:rPr>
            </w:r>
            <w:r/>
          </w:p>
        </w:tc>
      </w:tr>
      <w:tr>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ascii="宋体" w:hAnsi="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站房内外环境检查</w:t>
            </w:r>
            <w:r>
              <w:rPr>
                <w:rFonts w:ascii="宋体" w:hAnsi="宋体" w:cs="宋体"/>
                <w:color w:val="000000"/>
                <w:sz w:val="24"/>
                <w:highlight w:val="none"/>
                <w:lang w:val="en-US" w:eastAsia="zh-CN"/>
              </w:rPr>
            </w:r>
            <w:r/>
          </w:p>
        </w:tc>
        <w:tc>
          <w:tcPr>
            <w:tcW w:w="5176" w:type="dxa"/>
            <w:vAlign w:val="center"/>
            <w:textDirection w:val="lrTb"/>
            <w:noWrap w:val="false"/>
          </w:tcPr>
          <w:p>
            <w:pPr>
              <w:pStyle w:val="1213"/>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查看站房内外运行环境，确认室内温度、湿度等条件是否满足要求，保持站房及周边环境干净整洁，检查站房外部安防等设施是否正常，查看站房有无雨水渗漏、地基塌陷等情况，站房周围的杂草、积水和垃圾应及时清除，保持站房及周边环境干净整洁；</w:t>
            </w:r>
            <w:r>
              <w:rPr>
                <w:rFonts w:hint="eastAsia" w:ascii="宋体" w:hAnsi="宋体" w:cs="宋体"/>
                <w:b w:val="0"/>
                <w:bCs/>
                <w:color w:val="000000"/>
                <w:sz w:val="24"/>
                <w:szCs w:val="24"/>
                <w:highlight w:val="none"/>
              </w:rPr>
            </w:r>
            <w:r/>
          </w:p>
        </w:tc>
      </w:tr>
      <w:tr>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采配水单元及五参数电极检查</w:t>
            </w:r>
            <w:r>
              <w:rPr>
                <w:rFonts w:ascii="宋体" w:hAnsi="宋体" w:cs="宋体"/>
                <w:color w:val="000000"/>
                <w:sz w:val="24"/>
                <w:highlight w:val="none"/>
                <w:lang w:val="en-US" w:eastAsia="zh-CN"/>
              </w:rPr>
            </w:r>
            <w:r/>
          </w:p>
        </w:tc>
        <w:tc>
          <w:tcPr>
            <w:tcW w:w="5176" w:type="dxa"/>
            <w:vAlign w:val="center"/>
            <w:textDirection w:val="lrTb"/>
            <w:noWrap w:val="false"/>
          </w:tcPr>
          <w:p>
            <w:pPr>
              <w:pStyle w:val="1213"/>
              <w:numPr>
                <w:ilvl w:val="0"/>
                <w:numId w:val="13"/>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检查采配水单元是否正常，包括采水浮筒固定情况、自吸泵、增压泵、空气泵、手阀、电动阀、管路保温材料工作状态以及采排水管路是否存在漏液或堵塞情况，必要时应清洗并排除故障；</w:t>
            </w:r>
            <w:r>
              <w:rPr>
                <w:rFonts w:hint="eastAsia" w:ascii="宋体" w:hAnsi="宋体" w:cs="宋体"/>
                <w:b w:val="0"/>
                <w:bCs/>
                <w:color w:val="000000"/>
                <w:sz w:val="24"/>
                <w:szCs w:val="24"/>
                <w:highlight w:val="none"/>
              </w:rPr>
            </w:r>
            <w:r/>
          </w:p>
          <w:p>
            <w:pPr>
              <w:pStyle w:val="1213"/>
              <w:numPr>
                <w:ilvl w:val="0"/>
                <w:numId w:val="13"/>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检査五参数池、沉沙池、样水杯、液位计、相关管路是否干净,对常规五参数监测仪器电极进行清洗和维护，发现电极老化或损坏应及时校准或更换；</w:t>
            </w:r>
            <w:r>
              <w:rPr>
                <w:rFonts w:hint="eastAsia" w:ascii="宋体" w:hAnsi="宋体" w:cs="宋体"/>
                <w:b w:val="0"/>
                <w:bCs/>
                <w:color w:val="000000"/>
                <w:sz w:val="24"/>
                <w:szCs w:val="24"/>
                <w:highlight w:val="none"/>
              </w:rPr>
            </w:r>
            <w:r/>
          </w:p>
        </w:tc>
      </w:tr>
      <w:tr>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设备运行情况检查</w:t>
            </w:r>
            <w:r>
              <w:rPr>
                <w:rFonts w:ascii="宋体" w:hAnsi="宋体" w:cs="宋体"/>
                <w:color w:val="000000"/>
                <w:sz w:val="24"/>
                <w:highlight w:val="none"/>
                <w:lang w:val="en-US" w:eastAsia="zh-CN"/>
              </w:rPr>
            </w:r>
            <w:r/>
          </w:p>
        </w:tc>
        <w:tc>
          <w:tcPr>
            <w:tcW w:w="5176" w:type="dxa"/>
            <w:vAlign w:val="center"/>
            <w:textDirection w:val="lrTb"/>
            <w:noWrap w:val="false"/>
          </w:tcPr>
          <w:p>
            <w:pPr>
              <w:pStyle w:val="1213"/>
              <w:numPr>
                <w:ilvl w:val="0"/>
                <w:numId w:val="1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检查水质自动监测仪器、控制单元、监控中心平台三者监测数据和运行日志是否一致；</w:t>
            </w:r>
            <w:r>
              <w:rPr>
                <w:rFonts w:hint="eastAsia" w:ascii="宋体" w:hAnsi="宋体" w:cs="宋体"/>
                <w:b w:val="0"/>
                <w:bCs/>
                <w:color w:val="000000"/>
                <w:sz w:val="24"/>
                <w:szCs w:val="24"/>
                <w:highlight w:val="none"/>
              </w:rPr>
            </w:r>
            <w:r/>
          </w:p>
          <w:p>
            <w:pPr>
              <w:pStyle w:val="1213"/>
              <w:numPr>
                <w:ilvl w:val="0"/>
                <w:numId w:val="1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查看试剂使用状况，及时添加或更换试剂，试剂的更换周期原则上不超过30天，试剂更换后，应按需求完整填写并粘贴试剂标签，同时进行仪器校准或标样核查，并做好记录；</w:t>
            </w:r>
            <w:r>
              <w:rPr>
                <w:rFonts w:hint="eastAsia" w:ascii="宋体" w:hAnsi="宋体" w:cs="宋体"/>
                <w:b w:val="0"/>
                <w:bCs/>
                <w:color w:val="000000"/>
                <w:sz w:val="24"/>
                <w:szCs w:val="24"/>
                <w:highlight w:val="none"/>
              </w:rPr>
            </w:r>
            <w:r/>
          </w:p>
          <w:p>
            <w:pPr>
              <w:pStyle w:val="1213"/>
              <w:numPr>
                <w:ilvl w:val="0"/>
                <w:numId w:val="1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查看各监测仪器的运行状态和主要技术参数，判断运行是否正常；查看仪器是否存在报警信息并进行故障排除，及时更换相关备品备件，确保仪器正常运行；</w:t>
            </w:r>
            <w:r>
              <w:rPr>
                <w:rFonts w:hint="eastAsia" w:ascii="宋体" w:hAnsi="宋体" w:cs="宋体"/>
                <w:b w:val="0"/>
                <w:bCs/>
                <w:color w:val="000000"/>
                <w:sz w:val="24"/>
                <w:szCs w:val="24"/>
                <w:highlight w:val="none"/>
              </w:rPr>
            </w:r>
            <w:r/>
          </w:p>
          <w:p>
            <w:pPr>
              <w:pStyle w:val="1213"/>
              <w:numPr>
                <w:ilvl w:val="0"/>
                <w:numId w:val="1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查看废液收集情况，避免出现泄漏等情况；</w:t>
            </w:r>
            <w:r>
              <w:rPr>
                <w:rFonts w:hint="eastAsia" w:ascii="宋体" w:hAnsi="宋体" w:cs="宋体"/>
                <w:b w:val="0"/>
                <w:bCs/>
                <w:color w:val="000000"/>
                <w:sz w:val="24"/>
                <w:szCs w:val="24"/>
                <w:highlight w:val="none"/>
              </w:rPr>
            </w:r>
            <w:r/>
          </w:p>
        </w:tc>
      </w:tr>
      <w:tr>
        <w:trPr>
          <w:trHeight w:val="2612"/>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026" w:type="dxa"/>
            <w:vAlign w:val="center"/>
            <w:vMerge w:val="restart"/>
            <w:textDirection w:val="lrTb"/>
            <w:noWrap w:val="false"/>
          </w:tcPr>
          <w:p>
            <w:pPr>
              <w:pStyle w:val="1094"/>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每月</w:t>
            </w:r>
            <w:r>
              <w:rPr>
                <w:rFonts w:hint="eastAsia" w:ascii="宋体" w:hAnsi="宋体" w:eastAsia="宋体" w:cs="宋体"/>
                <w:color w:val="000000"/>
                <w:sz w:val="24"/>
                <w:highlight w:val="none"/>
                <w:lang w:val="en-US" w:eastAsia="zh-CN"/>
              </w:rPr>
            </w:r>
            <w:r/>
          </w:p>
        </w:tc>
        <w:tc>
          <w:tcPr>
            <w:tcW w:w="1570" w:type="dxa"/>
            <w:vAlign w:val="center"/>
            <w:textDirection w:val="lrTb"/>
            <w:noWrap w:val="false"/>
          </w:tcPr>
          <w:p>
            <w:pPr>
              <w:pStyle w:val="1213"/>
              <w:numPr>
                <w:ilvl w:val="0"/>
                <w:numId w:val="0"/>
              </w:numPr>
              <w:contextualSpacing/>
              <w:keepLines w:val="0"/>
              <w:keepNext w:val="0"/>
              <w:pageBreakBefore w:val="0"/>
              <w:spacing w:line="40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仪器设备标定及质控检查</w:t>
            </w:r>
            <w:r>
              <w:rPr>
                <w:rFonts w:ascii="宋体" w:hAnsi="宋体" w:cs="宋体"/>
                <w:b w:val="0"/>
                <w:bCs/>
                <w:color w:val="000000"/>
                <w:sz w:val="24"/>
                <w:szCs w:val="24"/>
                <w:highlight w:val="none"/>
                <w:lang w:val="en-US" w:eastAsia="zh-CN"/>
              </w:rPr>
            </w:r>
            <w:r/>
          </w:p>
        </w:tc>
        <w:tc>
          <w:tcPr>
            <w:tcW w:w="5176" w:type="dxa"/>
            <w:vAlign w:val="top"/>
            <w:textDirection w:val="lrTb"/>
            <w:noWrap w:val="false"/>
          </w:tcPr>
          <w:p>
            <w:pPr>
              <w:pStyle w:val="1213"/>
              <w:numPr>
                <w:ilvl w:val="0"/>
                <w:numId w:val="15"/>
              </w:numPr>
              <w:contextualSpacing/>
              <w:keepLines w:val="0"/>
              <w:keepNext w:val="0"/>
              <w:pageBreakBefore w:val="0"/>
              <w:spacing w:line="40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每月更换一次试剂，并进行一次仪器校准工作；</w:t>
            </w:r>
            <w:r>
              <w:rPr>
                <w:rFonts w:hint="eastAsia" w:ascii="宋体" w:hAnsi="宋体" w:cs="宋体"/>
                <w:b w:val="0"/>
                <w:bCs/>
                <w:color w:val="000000"/>
                <w:sz w:val="24"/>
                <w:szCs w:val="24"/>
                <w:highlight w:val="none"/>
                <w:lang w:val="en-US" w:eastAsia="zh-CN"/>
              </w:rPr>
            </w:r>
            <w:r/>
          </w:p>
          <w:p>
            <w:pPr>
              <w:pStyle w:val="1213"/>
              <w:numPr>
                <w:ilvl w:val="0"/>
                <w:numId w:val="15"/>
              </w:numPr>
              <w:contextualSpacing/>
              <w:keepLines w:val="0"/>
              <w:keepNext w:val="0"/>
              <w:pageBreakBefore w:val="0"/>
              <w:spacing w:line="40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每月进行一次设备标准样品质控</w:t>
            </w:r>
            <w:r>
              <w:rPr>
                <w:rFonts w:ascii="宋体" w:hAnsi="宋体" w:cs="宋体"/>
                <w:b w:val="0"/>
                <w:bCs/>
                <w:color w:val="000000"/>
                <w:sz w:val="24"/>
                <w:szCs w:val="24"/>
                <w:highlight w:val="none"/>
                <w:lang w:val="en-US" w:eastAsia="zh-CN"/>
              </w:rPr>
            </w:r>
            <w:r/>
          </w:p>
          <w:p>
            <w:pPr>
              <w:pStyle w:val="1213"/>
              <w:numPr>
                <w:ilvl w:val="0"/>
                <w:numId w:val="15"/>
              </w:numPr>
              <w:contextualSpacing/>
              <w:keepLines w:val="0"/>
              <w:keepNext w:val="0"/>
              <w:pageBreakBefore w:val="0"/>
              <w:spacing w:line="40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检查仪器管路是否存在气泡，接头是否存在漏液，对进样管路及时进行清洗和维护，对于无法清洗干净的应立即更换；</w:t>
            </w:r>
            <w:r>
              <w:rPr>
                <w:rFonts w:ascii="宋体" w:hAnsi="宋体" w:cs="宋体"/>
                <w:b w:val="0"/>
                <w:bCs/>
                <w:color w:val="000000"/>
                <w:sz w:val="24"/>
                <w:szCs w:val="24"/>
                <w:highlight w:val="none"/>
                <w:lang w:val="en-US" w:eastAsia="zh-CN"/>
              </w:rPr>
            </w:r>
            <w:r/>
          </w:p>
        </w:tc>
      </w:tr>
      <w:tr>
        <w:trPr>
          <w:trHeight w:val="2612"/>
        </w:trPr>
        <w:tc>
          <w:tcPr>
            <w:tcW w:w="747" w:type="dxa"/>
            <w:vAlign w:val="center"/>
            <w:textDirection w:val="lrTb"/>
            <w:noWrap w:val="false"/>
          </w:tcPr>
          <w:p>
            <w:pPr>
              <w:pStyle w:val="1094"/>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026" w:type="dxa"/>
            <w:vAlign w:val="center"/>
            <w:vMerge w:val="continue"/>
            <w:textDirection w:val="lrTb"/>
            <w:noWrap w:val="false"/>
          </w:tcPr>
          <w:p>
            <w:pPr>
              <w:pStyle w:val="1094"/>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室</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外取水管路清洗清淤</w:t>
            </w:r>
            <w:r>
              <w:rPr>
                <w:rFonts w:ascii="宋体" w:hAnsi="宋体" w:cs="宋体"/>
                <w:color w:val="000000"/>
                <w:sz w:val="24"/>
                <w:highlight w:val="none"/>
              </w:rPr>
            </w:r>
            <w:r/>
          </w:p>
        </w:tc>
        <w:tc>
          <w:tcPr>
            <w:tcW w:w="5176" w:type="dxa"/>
            <w:vAlign w:val="center"/>
            <w:textDirection w:val="lrTb"/>
            <w:noWrap w:val="false"/>
          </w:tcPr>
          <w:p>
            <w:pPr>
              <w:pStyle w:val="1213"/>
              <w:numPr>
                <w:ilvl w:val="0"/>
                <w:numId w:val="16"/>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将室外取水管路淤泥吹出。至少三次空气吹洗，以便达到良好清淤效果。</w:t>
            </w:r>
            <w:r>
              <w:rPr>
                <w:rFonts w:hint="eastAsia" w:ascii="宋体" w:hAnsi="宋体" w:cs="宋体"/>
                <w:b w:val="0"/>
                <w:bCs/>
                <w:color w:val="000000"/>
                <w:sz w:val="24"/>
                <w:szCs w:val="24"/>
                <w:highlight w:val="none"/>
              </w:rPr>
            </w:r>
            <w:r/>
          </w:p>
          <w:p>
            <w:pPr>
              <w:pStyle w:val="1213"/>
              <w:numPr>
                <w:ilvl w:val="0"/>
                <w:numId w:val="16"/>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采用3%稀盐酸，对取水管路进行清洗。</w:t>
            </w:r>
            <w:r>
              <w:rPr>
                <w:rFonts w:hint="eastAsia" w:ascii="宋体" w:hAnsi="宋体" w:cs="宋体"/>
                <w:b w:val="0"/>
                <w:bCs/>
                <w:color w:val="000000"/>
                <w:sz w:val="24"/>
                <w:szCs w:val="24"/>
                <w:highlight w:val="none"/>
              </w:rPr>
            </w:r>
            <w:r/>
          </w:p>
          <w:p>
            <w:pPr>
              <w:pStyle w:val="1213"/>
              <w:numPr>
                <w:ilvl w:val="0"/>
                <w:numId w:val="16"/>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清洗完毕后15分钟手动运行一次采水流程，以便将管路中残余药剂清洗掉。</w:t>
            </w:r>
            <w:r>
              <w:rPr>
                <w:rFonts w:hint="eastAsia" w:ascii="宋体" w:hAnsi="宋体" w:cs="宋体"/>
                <w:b w:val="0"/>
                <w:bCs/>
                <w:color w:val="000000"/>
                <w:sz w:val="24"/>
                <w:szCs w:val="24"/>
                <w:highlight w:val="none"/>
              </w:rPr>
            </w:r>
            <w:r/>
          </w:p>
          <w:p>
            <w:pPr>
              <w:pStyle w:val="1213"/>
              <w:numPr>
                <w:ilvl w:val="0"/>
                <w:numId w:val="16"/>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恢复取水管路原状。手动拆卸阀门、弯头、过滤网和样水杯等部件，用试管刷清洗，清洗后原样装回。</w:t>
            </w:r>
            <w:r>
              <w:rPr>
                <w:rFonts w:hint="eastAsia" w:ascii="宋体" w:hAnsi="宋体" w:cs="宋体"/>
                <w:b w:val="0"/>
                <w:bCs/>
                <w:color w:val="000000"/>
                <w:sz w:val="24"/>
                <w:szCs w:val="24"/>
                <w:highlight w:val="none"/>
              </w:rPr>
            </w:r>
            <w:r/>
          </w:p>
          <w:p>
            <w:pPr>
              <w:pStyle w:val="1213"/>
              <w:numPr>
                <w:ilvl w:val="0"/>
                <w:numId w:val="16"/>
              </w:numPr>
              <w:contextualSpacing/>
              <w:keepLines w:val="0"/>
              <w:keepNext w:val="0"/>
              <w:pageBreakBefore w:val="0"/>
              <w:spacing w:line="400" w:lineRule="exact"/>
              <w:rPr>
                <w:rFonts w:hint="eastAsia" w:ascii="宋体" w:hAnsi="宋体" w:cs="宋体"/>
                <w:color w:val="000000"/>
                <w:sz w:val="24"/>
                <w:highlight w:val="none"/>
              </w:rPr>
            </w:pPr>
            <w:r>
              <w:rPr>
                <w:rFonts w:hint="eastAsia" w:ascii="宋体" w:hAnsi="宋体" w:cs="宋体"/>
                <w:b w:val="0"/>
                <w:bCs/>
                <w:color w:val="000000"/>
                <w:sz w:val="24"/>
                <w:szCs w:val="24"/>
                <w:highlight w:val="none"/>
              </w:rPr>
              <w:t xml:space="preserve">检查蠕动泵进水塑胶软管脏污情况，必要的情况更换。</w:t>
            </w:r>
            <w:r>
              <w:rPr>
                <w:rFonts w:hint="eastAsia" w:ascii="宋体" w:hAnsi="宋体" w:cs="宋体"/>
                <w:color w:val="000000"/>
                <w:sz w:val="24"/>
                <w:highlight w:val="none"/>
              </w:rPr>
            </w:r>
            <w:r/>
          </w:p>
        </w:tc>
      </w:tr>
      <w:tr>
        <w:trPr/>
        <w:tc>
          <w:tcPr>
            <w:tcW w:w="747" w:type="dxa"/>
            <w:vAlign w:val="center"/>
            <w:textDirection w:val="lrTb"/>
            <w:noWrap w:val="false"/>
          </w:tcPr>
          <w:p>
            <w:pPr>
              <w:pStyle w:val="1094"/>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电动球阀清洗检查</w:t>
            </w:r>
            <w:r>
              <w:rPr>
                <w:rFonts w:ascii="宋体" w:hAnsi="宋体" w:cs="宋体"/>
                <w:color w:val="000000"/>
                <w:sz w:val="24"/>
                <w:highlight w:val="none"/>
              </w:rPr>
            </w:r>
            <w:r/>
          </w:p>
        </w:tc>
        <w:tc>
          <w:tcPr>
            <w:tcW w:w="5176" w:type="dxa"/>
            <w:vAlign w:val="center"/>
            <w:textDirection w:val="lrTb"/>
            <w:noWrap w:val="false"/>
          </w:tcPr>
          <w:p>
            <w:pPr>
              <w:pStyle w:val="1213"/>
              <w:numPr>
                <w:ilvl w:val="0"/>
                <w:numId w:val="17"/>
              </w:numPr>
              <w:contextualSpacing/>
              <w:keepLines w:val="0"/>
              <w:keepNext w:val="0"/>
              <w:pageBreakBefore w:val="0"/>
              <w:spacing w:line="40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将电动球阀手动拆下，</w:t>
            </w:r>
            <w:r>
              <w:rPr>
                <w:rFonts w:hint="eastAsia" w:ascii="宋体" w:hAnsi="宋体" w:cs="宋体"/>
                <w:b w:val="0"/>
                <w:bCs/>
                <w:color w:val="000000"/>
                <w:sz w:val="24"/>
                <w:szCs w:val="24"/>
                <w:highlight w:val="none"/>
                <w:lang w:val="en-US" w:eastAsia="zh-CN"/>
              </w:rPr>
              <w:t xml:space="preserve">检查有无脏污并及时清理；</w:t>
            </w:r>
            <w:r>
              <w:rPr>
                <w:rFonts w:ascii="宋体" w:hAnsi="宋体" w:cs="宋体"/>
                <w:b w:val="0"/>
                <w:bCs/>
                <w:color w:val="000000"/>
                <w:sz w:val="24"/>
                <w:szCs w:val="24"/>
                <w:highlight w:val="none"/>
                <w:lang w:val="en-US" w:eastAsia="zh-CN"/>
              </w:rPr>
            </w:r>
            <w:r/>
          </w:p>
          <w:p>
            <w:pPr>
              <w:pStyle w:val="1213"/>
              <w:numPr>
                <w:ilvl w:val="0"/>
                <w:numId w:val="17"/>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开启组态单阀测试程序，单独控制阀门开关，检查阀门开关时间是否符合要求（10s以内）</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17"/>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必要的情况替换电动球阀。</w:t>
            </w:r>
            <w:r>
              <w:rPr>
                <w:rFonts w:hint="eastAsia" w:ascii="宋体" w:hAnsi="宋体" w:cs="宋体"/>
                <w:b w:val="0"/>
                <w:bCs/>
                <w:color w:val="000000"/>
                <w:sz w:val="24"/>
                <w:szCs w:val="24"/>
                <w:highlight w:val="none"/>
              </w:rPr>
            </w:r>
            <w:r/>
          </w:p>
        </w:tc>
      </w:tr>
      <w:tr>
        <w:trPr/>
        <w:tc>
          <w:tcPr>
            <w:tcW w:w="747"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取水系统综合测试</w:t>
            </w:r>
            <w:r>
              <w:rPr>
                <w:rFonts w:ascii="宋体" w:hAnsi="宋体" w:cs="宋体"/>
                <w:color w:val="000000"/>
                <w:sz w:val="24"/>
                <w:highlight w:val="none"/>
              </w:rPr>
            </w:r>
            <w:r/>
          </w:p>
        </w:tc>
        <w:tc>
          <w:tcPr>
            <w:tcW w:w="5176" w:type="dxa"/>
            <w:vAlign w:val="center"/>
            <w:textDirection w:val="lrTb"/>
            <w:noWrap w:val="false"/>
          </w:tcPr>
          <w:p>
            <w:pPr>
              <w:pStyle w:val="1213"/>
              <w:numPr>
                <w:ilvl w:val="0"/>
                <w:numId w:val="18"/>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完成上述测试后复原所有阀门到正确位置</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18"/>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检查各个接头是否松动，各个电动球阀接线是否完好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18"/>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检查无误情况下，系统复电，检查整个取水流程是否正常。</w:t>
            </w:r>
            <w:r>
              <w:rPr>
                <w:rFonts w:hint="eastAsia" w:ascii="宋体" w:hAnsi="宋体" w:cs="宋体"/>
                <w:b w:val="0"/>
                <w:bCs/>
                <w:color w:val="000000"/>
                <w:sz w:val="24"/>
                <w:szCs w:val="24"/>
                <w:highlight w:val="none"/>
              </w:rPr>
            </w:r>
            <w:r/>
          </w:p>
        </w:tc>
      </w:tr>
      <w:tr>
        <w:trPr/>
        <w:tc>
          <w:tcPr>
            <w:tcW w:w="747"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通讯检查</w:t>
            </w:r>
            <w:r>
              <w:rPr>
                <w:rFonts w:ascii="宋体" w:hAnsi="宋体" w:cs="宋体"/>
                <w:color w:val="000000"/>
                <w:sz w:val="24"/>
                <w:highlight w:val="none"/>
              </w:rPr>
            </w:r>
            <w:r/>
          </w:p>
        </w:tc>
        <w:tc>
          <w:tcPr>
            <w:tcW w:w="5176" w:type="dxa"/>
            <w:vAlign w:val="center"/>
            <w:textDirection w:val="lrTb"/>
            <w:noWrap w:val="false"/>
          </w:tcPr>
          <w:p>
            <w:pPr>
              <w:pStyle w:val="1213"/>
              <w:numPr>
                <w:ilvl w:val="0"/>
                <w:numId w:val="19"/>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确保工控机各个串口和PLC、数采仪、分析仪器连接一一对应正确且牢固。</w:t>
            </w:r>
            <w:r>
              <w:rPr>
                <w:rFonts w:hint="eastAsia" w:ascii="宋体" w:hAnsi="宋体" w:cs="宋体"/>
                <w:b w:val="0"/>
                <w:bCs/>
                <w:color w:val="000000"/>
                <w:sz w:val="24"/>
                <w:szCs w:val="24"/>
                <w:highlight w:val="none"/>
              </w:rPr>
            </w:r>
            <w:r/>
          </w:p>
          <w:p>
            <w:pPr>
              <w:pStyle w:val="1213"/>
              <w:numPr>
                <w:ilvl w:val="0"/>
                <w:numId w:val="19"/>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通过现场监控软件测试工控与PLC及各个仪器之间是否连接正确。</w:t>
            </w:r>
            <w:r>
              <w:rPr>
                <w:rFonts w:hint="eastAsia" w:ascii="宋体" w:hAnsi="宋体" w:cs="宋体"/>
                <w:b w:val="0"/>
                <w:bCs/>
                <w:color w:val="000000"/>
                <w:sz w:val="24"/>
                <w:szCs w:val="24"/>
                <w:highlight w:val="none"/>
              </w:rPr>
            </w:r>
            <w:r/>
          </w:p>
          <w:p>
            <w:pPr>
              <w:pStyle w:val="1213"/>
              <w:numPr>
                <w:ilvl w:val="0"/>
                <w:numId w:val="19"/>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网络传输设备检查，保证通讯畅通。</w:t>
            </w:r>
            <w:r>
              <w:rPr>
                <w:rFonts w:hint="eastAsia" w:ascii="宋体" w:hAnsi="宋体" w:cs="宋体"/>
                <w:b w:val="0"/>
                <w:bCs/>
                <w:color w:val="000000"/>
                <w:sz w:val="24"/>
                <w:szCs w:val="24"/>
                <w:highlight w:val="none"/>
              </w:rPr>
            </w:r>
            <w:r/>
          </w:p>
          <w:p>
            <w:pPr>
              <w:pStyle w:val="1213"/>
              <w:numPr>
                <w:ilvl w:val="0"/>
                <w:numId w:val="19"/>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安防监控设备检查，监控视角位置。</w:t>
            </w:r>
            <w:r>
              <w:rPr>
                <w:rFonts w:hint="eastAsia" w:ascii="宋体" w:hAnsi="宋体" w:cs="宋体"/>
                <w:b w:val="0"/>
                <w:bCs/>
                <w:color w:val="000000"/>
                <w:sz w:val="24"/>
                <w:szCs w:val="24"/>
                <w:highlight w:val="none"/>
              </w:rPr>
            </w:r>
            <w:r/>
          </w:p>
        </w:tc>
      </w:tr>
      <w:tr>
        <w:trPr>
          <w:trHeight w:val="946"/>
        </w:trPr>
        <w:tc>
          <w:tcPr>
            <w:tcW w:w="747" w:type="dxa"/>
            <w:vAlign w:val="center"/>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val="en-US" w:eastAsia="zh-CN"/>
              </w:rPr>
            </w:r>
            <w:r/>
          </w:p>
          <w:p>
            <w:pPr>
              <w:pStyle w:val="1094"/>
              <w:jc w:val="center"/>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辅助设备检查</w:t>
            </w:r>
            <w:r>
              <w:rPr>
                <w:rFonts w:ascii="宋体" w:hAnsi="宋体" w:eastAsia="宋体" w:cs="宋体"/>
                <w:color w:val="000000"/>
                <w:sz w:val="24"/>
                <w:highlight w:val="none"/>
                <w:lang w:val="en-US" w:eastAsia="zh-CN"/>
              </w:rPr>
            </w:r>
            <w:r/>
          </w:p>
        </w:tc>
        <w:tc>
          <w:tcPr>
            <w:tcW w:w="5176" w:type="dxa"/>
            <w:vAlign w:val="center"/>
            <w:textDirection w:val="lrTb"/>
            <w:noWrap w:val="false"/>
          </w:tcPr>
          <w:p>
            <w:pPr>
              <w:pStyle w:val="1213"/>
              <w:numPr>
                <w:ilvl w:val="0"/>
                <w:numId w:val="20"/>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查看水质自动监测仪器及空压机、不间断电源（UPS）等辅助设备是否正常，必要时应更换耗材；</w:t>
            </w:r>
            <w:r>
              <w:rPr>
                <w:rFonts w:hint="eastAsia" w:ascii="宋体" w:hAnsi="宋体" w:cs="宋体"/>
                <w:b w:val="0"/>
                <w:bCs/>
                <w:color w:val="000000"/>
                <w:sz w:val="24"/>
                <w:szCs w:val="24"/>
                <w:highlight w:val="none"/>
              </w:rPr>
            </w:r>
            <w:r/>
          </w:p>
          <w:p>
            <w:pPr>
              <w:pStyle w:val="1213"/>
              <w:numPr>
                <w:ilvl w:val="0"/>
                <w:numId w:val="20"/>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上电测试，确保稳压源</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空压机</w:t>
            </w:r>
            <w:r>
              <w:rPr>
                <w:rFonts w:hint="eastAsia" w:ascii="宋体" w:hAnsi="宋体" w:cs="宋体"/>
                <w:b w:val="0"/>
                <w:bCs/>
                <w:color w:val="000000"/>
                <w:sz w:val="24"/>
                <w:szCs w:val="24"/>
                <w:highlight w:val="none"/>
              </w:rPr>
              <w:t xml:space="preserve">工作正常</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1213"/>
              <w:numPr>
                <w:ilvl w:val="0"/>
                <w:numId w:val="20"/>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检查确保UPS充放电正常</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1213"/>
              <w:numPr>
                <w:ilvl w:val="0"/>
                <w:numId w:val="20"/>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确保箱内各个电池联线接触良好牢固</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1213"/>
              <w:numPr>
                <w:ilvl w:val="0"/>
                <w:numId w:val="20"/>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确保各个电池无漏液，外观正常。</w:t>
            </w:r>
            <w:r>
              <w:rPr>
                <w:rFonts w:hint="eastAsia" w:ascii="宋体" w:hAnsi="宋体" w:cs="宋体"/>
                <w:b w:val="0"/>
                <w:bCs/>
                <w:color w:val="000000"/>
                <w:sz w:val="24"/>
                <w:szCs w:val="24"/>
                <w:highlight w:val="none"/>
              </w:rPr>
            </w:r>
            <w:r/>
          </w:p>
        </w:tc>
      </w:tr>
      <w:tr>
        <w:trPr>
          <w:trHeight w:val="700"/>
        </w:trPr>
        <w:tc>
          <w:tcPr>
            <w:tcW w:w="747"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026" w:type="dxa"/>
            <w:vAlign w:val="center"/>
            <w:vMerge w:val="restart"/>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每季度</w:t>
            </w:r>
            <w:r>
              <w:rPr>
                <w:rFonts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工控机检查</w:t>
            </w:r>
            <w:r>
              <w:rPr>
                <w:rFonts w:hint="eastAsia" w:ascii="宋体" w:hAnsi="宋体" w:cs="宋体"/>
                <w:color w:val="000000"/>
                <w:sz w:val="24"/>
                <w:highlight w:val="none"/>
              </w:rPr>
            </w:r>
            <w:r/>
          </w:p>
        </w:tc>
        <w:tc>
          <w:tcPr>
            <w:tcW w:w="5176" w:type="dxa"/>
            <w:vAlign w:val="center"/>
            <w:textDirection w:val="lrTb"/>
            <w:noWrap w:val="false"/>
          </w:tcPr>
          <w:p>
            <w:pPr>
              <w:pStyle w:val="1213"/>
              <w:numPr>
                <w:ilvl w:val="0"/>
                <w:numId w:val="21"/>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检查开机过程中硬件自检过程是否有异常数据传输和报警</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21"/>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强制切断电源后复电工控机是否可以自动启动，并运行windos系统、加载现场监控软件，串口连接是否正常</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21"/>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插入备份光盘，用ghost软件备份操作系统。将备份好的操作系统和分区D内的文件拷贝到备份移动硬盘上</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21"/>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检查通讯单元工作是否正常，对光纤（无线信号）接入的终端设备、交换机、VPN工作状态进行检查，确保水站通讯正常；</w:t>
            </w:r>
            <w:r>
              <w:rPr>
                <w:rFonts w:hint="eastAsia" w:ascii="宋体" w:hAnsi="宋体" w:cs="宋体"/>
                <w:b w:val="0"/>
                <w:bCs/>
                <w:color w:val="000000"/>
                <w:sz w:val="24"/>
                <w:szCs w:val="24"/>
                <w:highlight w:val="none"/>
              </w:rPr>
            </w:r>
            <w:r/>
          </w:p>
          <w:p>
            <w:pPr>
              <w:pStyle w:val="1213"/>
              <w:numPr>
                <w:ilvl w:val="0"/>
                <w:numId w:val="21"/>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检查硬盘</w:t>
            </w:r>
            <w:r>
              <w:rPr>
                <w:rFonts w:hint="eastAsia" w:ascii="宋体" w:hAnsi="宋体" w:cs="宋体"/>
                <w:b w:val="0"/>
                <w:bCs/>
                <w:color w:val="000000"/>
                <w:sz w:val="24"/>
                <w:szCs w:val="24"/>
                <w:highlight w:val="none"/>
                <w:lang w:val="en-US" w:eastAsia="zh-CN"/>
              </w:rPr>
              <w:t xml:space="preserve">各</w:t>
            </w:r>
            <w:r>
              <w:rPr>
                <w:rFonts w:hint="eastAsia" w:ascii="宋体" w:hAnsi="宋体" w:cs="宋体"/>
                <w:b w:val="0"/>
                <w:bCs/>
                <w:color w:val="000000"/>
                <w:sz w:val="24"/>
                <w:szCs w:val="24"/>
                <w:highlight w:val="none"/>
              </w:rPr>
              <w:t xml:space="preserve">连接线是否松动。</w:t>
            </w:r>
            <w:r>
              <w:rPr>
                <w:rFonts w:hint="eastAsia" w:ascii="宋体" w:hAnsi="宋体" w:cs="宋体"/>
                <w:b w:val="0"/>
                <w:bCs/>
                <w:color w:val="000000"/>
                <w:sz w:val="24"/>
                <w:szCs w:val="24"/>
                <w:highlight w:val="none"/>
              </w:rPr>
            </w:r>
            <w:r/>
          </w:p>
        </w:tc>
      </w:tr>
      <w:tr>
        <w:trPr>
          <w:trHeight w:val="700"/>
        </w:trPr>
        <w:tc>
          <w:tcPr>
            <w:tcW w:w="747"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监控系统</w:t>
            </w:r>
            <w:r>
              <w:rPr>
                <w:rFonts w:ascii="宋体" w:hAnsi="宋体" w:cs="宋体"/>
                <w:color w:val="000000"/>
                <w:sz w:val="24"/>
                <w:highlight w:val="none"/>
              </w:rPr>
            </w:r>
            <w:r/>
          </w:p>
        </w:tc>
        <w:tc>
          <w:tcPr>
            <w:tcW w:w="5176" w:type="dxa"/>
            <w:vAlign w:val="center"/>
            <w:textDirection w:val="lrTb"/>
            <w:noWrap w:val="false"/>
          </w:tcPr>
          <w:p>
            <w:pPr>
              <w:pStyle w:val="1213"/>
              <w:numPr>
                <w:ilvl w:val="0"/>
                <w:numId w:val="2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定期检查电源是否正常。</w:t>
            </w:r>
            <w:r>
              <w:rPr>
                <w:rFonts w:hint="eastAsia" w:ascii="宋体" w:hAnsi="宋体" w:cs="宋体"/>
                <w:b w:val="0"/>
                <w:bCs/>
                <w:color w:val="000000"/>
                <w:sz w:val="24"/>
                <w:szCs w:val="24"/>
                <w:highlight w:val="none"/>
              </w:rPr>
            </w:r>
            <w:r/>
          </w:p>
          <w:p>
            <w:pPr>
              <w:pStyle w:val="1213"/>
              <w:numPr>
                <w:ilvl w:val="0"/>
                <w:numId w:val="2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检查信号是否正常，是否24小时正常运行。</w:t>
            </w:r>
            <w:r>
              <w:rPr>
                <w:rFonts w:hint="eastAsia" w:ascii="宋体" w:hAnsi="宋体" w:cs="宋体"/>
                <w:b w:val="0"/>
                <w:bCs/>
                <w:color w:val="000000"/>
                <w:sz w:val="24"/>
                <w:szCs w:val="24"/>
                <w:highlight w:val="none"/>
              </w:rPr>
            </w:r>
            <w:r/>
          </w:p>
          <w:p>
            <w:pPr>
              <w:pStyle w:val="1213"/>
              <w:numPr>
                <w:ilvl w:val="0"/>
                <w:numId w:val="2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定期清洁卫生。</w:t>
            </w:r>
            <w:r>
              <w:rPr>
                <w:rFonts w:hint="eastAsia" w:ascii="宋体" w:hAnsi="宋体" w:cs="宋体"/>
                <w:b w:val="0"/>
                <w:bCs/>
                <w:color w:val="000000"/>
                <w:sz w:val="24"/>
                <w:szCs w:val="24"/>
                <w:highlight w:val="none"/>
              </w:rPr>
            </w:r>
            <w:r/>
          </w:p>
          <w:p>
            <w:pPr>
              <w:pStyle w:val="1213"/>
              <w:numPr>
                <w:ilvl w:val="0"/>
                <w:numId w:val="22"/>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检查视频回放功能是否正常。</w:t>
            </w:r>
            <w:r>
              <w:rPr>
                <w:rFonts w:hint="eastAsia" w:ascii="宋体" w:hAnsi="宋体" w:cs="宋体"/>
                <w:b w:val="0"/>
                <w:bCs/>
                <w:color w:val="000000"/>
                <w:sz w:val="24"/>
                <w:szCs w:val="24"/>
                <w:highlight w:val="none"/>
              </w:rPr>
            </w:r>
            <w:r/>
          </w:p>
        </w:tc>
      </w:tr>
      <w:tr>
        <w:trPr>
          <w:trHeight w:val="700"/>
        </w:trPr>
        <w:tc>
          <w:tcPr>
            <w:tcW w:w="747" w:type="dxa"/>
            <w:vAlign w:val="center"/>
            <w:textDirection w:val="lrTb"/>
            <w:noWrap w:val="false"/>
          </w:tcPr>
          <w:p>
            <w:pPr>
              <w:pStyle w:val="1094"/>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70"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站房养护</w:t>
            </w:r>
            <w:r>
              <w:rPr>
                <w:rFonts w:ascii="宋体" w:hAnsi="宋体" w:eastAsia="宋体" w:cs="宋体"/>
                <w:color w:val="000000"/>
                <w:sz w:val="24"/>
                <w:highlight w:val="none"/>
                <w:lang w:val="en-US" w:eastAsia="zh-CN"/>
              </w:rPr>
            </w:r>
            <w:r/>
          </w:p>
        </w:tc>
        <w:tc>
          <w:tcPr>
            <w:tcW w:w="5176" w:type="dxa"/>
            <w:vAlign w:val="center"/>
            <w:textDirection w:val="lrTb"/>
            <w:noWrap w:val="false"/>
          </w:tcPr>
          <w:p>
            <w:pPr>
              <w:pStyle w:val="1213"/>
              <w:numPr>
                <w:ilvl w:val="0"/>
                <w:numId w:val="23"/>
              </w:numPr>
              <w:contextualSpacing/>
              <w:keepLines w:val="0"/>
              <w:keepNext w:val="0"/>
              <w:pageBreakBefore w:val="0"/>
              <w:spacing w:line="40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每年开展站房全面养护，对温控设备和保温设施进行一次专业保养维护</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r>
            <w:r/>
          </w:p>
        </w:tc>
      </w:tr>
      <w:tr>
        <w:trPr>
          <w:trHeight w:val="700"/>
        </w:trPr>
        <w:tc>
          <w:tcPr>
            <w:tcW w:w="747" w:type="dxa"/>
            <w:vAlign w:val="center"/>
            <w:textDirection w:val="lrTb"/>
            <w:noWrap w:val="false"/>
          </w:tcPr>
          <w:p>
            <w:pPr>
              <w:pStyle w:val="109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r>
            <w:r/>
          </w:p>
        </w:tc>
        <w:tc>
          <w:tcPr>
            <w:tcW w:w="1026" w:type="dxa"/>
            <w:vAlign w:val="center"/>
            <w:vMerge w:val="restart"/>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每年</w:t>
            </w:r>
            <w:r>
              <w:rPr>
                <w:rFonts w:hint="eastAsia" w:ascii="宋体" w:hAnsi="宋体" w:cs="宋体"/>
                <w:color w:val="000000"/>
                <w:sz w:val="24"/>
                <w:highlight w:val="none"/>
                <w:lang w:val="en-US" w:eastAsia="zh-CN"/>
              </w:rPr>
            </w:r>
            <w:r/>
          </w:p>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全面检查</w:t>
            </w:r>
            <w:r>
              <w:rPr>
                <w:rFonts w:hint="eastAsia" w:ascii="宋体" w:hAnsi="宋体" w:eastAsia="宋体" w:cs="宋体"/>
                <w:color w:val="000000"/>
                <w:sz w:val="24"/>
                <w:highlight w:val="none"/>
                <w:lang w:val="en-US" w:eastAsia="zh-CN"/>
              </w:rPr>
            </w:r>
            <w:r/>
          </w:p>
        </w:tc>
        <w:tc>
          <w:tcPr>
            <w:tcW w:w="5176" w:type="dxa"/>
            <w:vAlign w:val="center"/>
            <w:textDirection w:val="lrTb"/>
            <w:noWrap w:val="false"/>
          </w:tcPr>
          <w:p>
            <w:pPr>
              <w:pStyle w:val="1213"/>
              <w:numPr>
                <w:ilvl w:val="0"/>
                <w:numId w:val="2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对空调和保温设施进行一次专业保养维护；</w:t>
            </w:r>
            <w:r>
              <w:rPr>
                <w:rFonts w:hint="eastAsia" w:ascii="宋体" w:hAnsi="宋体" w:cs="宋体"/>
                <w:b w:val="0"/>
                <w:bCs/>
                <w:color w:val="000000"/>
                <w:sz w:val="24"/>
                <w:szCs w:val="24"/>
                <w:highlight w:val="none"/>
              </w:rPr>
            </w:r>
            <w:r/>
          </w:p>
          <w:p>
            <w:pPr>
              <w:pStyle w:val="1213"/>
              <w:numPr>
                <w:ilvl w:val="0"/>
                <w:numId w:val="2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找专业的机构对防雷设施进行检查并出具报告；</w:t>
            </w:r>
            <w:r>
              <w:rPr>
                <w:rFonts w:hint="eastAsia" w:ascii="宋体" w:hAnsi="宋体" w:cs="宋体"/>
                <w:b w:val="0"/>
                <w:bCs/>
                <w:color w:val="000000"/>
                <w:sz w:val="24"/>
                <w:szCs w:val="24"/>
                <w:highlight w:val="none"/>
              </w:rPr>
            </w:r>
            <w:r/>
          </w:p>
          <w:p>
            <w:pPr>
              <w:pStyle w:val="1213"/>
              <w:numPr>
                <w:ilvl w:val="0"/>
                <w:numId w:val="24"/>
              </w:numPr>
              <w:contextualSpacing/>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对采配水管路进行全面检查，检查保温材料是否破损，管路是否老化，接头是否漏水，出现破损、老化或漏水应及时对管路和保温材料进行更换；</w:t>
            </w:r>
            <w:r>
              <w:rPr>
                <w:rFonts w:hint="eastAsia" w:ascii="宋体" w:hAnsi="宋体" w:cs="宋体"/>
                <w:b w:val="0"/>
                <w:bCs/>
                <w:color w:val="000000"/>
                <w:sz w:val="24"/>
                <w:szCs w:val="24"/>
                <w:highlight w:val="none"/>
              </w:rPr>
            </w:r>
            <w:r/>
          </w:p>
          <w:p>
            <w:pPr>
              <w:pStyle w:val="1213"/>
              <w:numPr>
                <w:ilvl w:val="0"/>
                <w:numId w:val="24"/>
              </w:numPr>
              <w:contextualSpacing/>
              <w:keepLines w:val="0"/>
              <w:keepNext w:val="0"/>
              <w:pageBreakBefore w:val="0"/>
              <w:spacing w:line="40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对检测器光源、电极、计量装置传感器以及加热装置和温控装置等仪器关键零部件工作状态进行检查，及时进行维修或更换，并重新对仪器进行校准并做好记录</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r>
            <w:r/>
          </w:p>
        </w:tc>
      </w:tr>
      <w:tr>
        <w:trPr>
          <w:trHeight w:val="700"/>
        </w:trPr>
        <w:tc>
          <w:tcPr>
            <w:tcW w:w="747" w:type="dxa"/>
            <w:vAlign w:val="center"/>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lang w:val="en-US" w:eastAsia="zh-CN"/>
              </w:rPr>
            </w:r>
            <w:r/>
          </w:p>
        </w:tc>
        <w:tc>
          <w:tcPr>
            <w:tcW w:w="1026" w:type="dxa"/>
            <w:vAlign w:val="center"/>
            <w:vMerge w:val="continue"/>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570" w:type="dxa"/>
            <w:vAlign w:val="center"/>
            <w:textDirection w:val="lrTb"/>
            <w:noWrap w:val="false"/>
          </w:tcPr>
          <w:p>
            <w:pPr>
              <w:pStyle w:val="1094"/>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防雷检查</w:t>
            </w:r>
            <w:r>
              <w:rPr>
                <w:rFonts w:hint="eastAsia" w:ascii="宋体" w:hAnsi="宋体" w:cs="宋体"/>
                <w:color w:val="000000"/>
                <w:sz w:val="24"/>
                <w:highlight w:val="none"/>
                <w:lang w:val="en-US" w:eastAsia="zh-CN"/>
              </w:rPr>
            </w:r>
            <w:r/>
          </w:p>
        </w:tc>
        <w:tc>
          <w:tcPr>
            <w:tcW w:w="5176" w:type="dxa"/>
            <w:vAlign w:val="center"/>
            <w:textDirection w:val="lrTb"/>
            <w:noWrap w:val="false"/>
          </w:tcPr>
          <w:p>
            <w:pPr>
              <w:pStyle w:val="1213"/>
              <w:numPr>
                <w:ilvl w:val="0"/>
                <w:numId w:val="25"/>
              </w:numPr>
              <w:contextualSpacing/>
              <w:keepLines w:val="0"/>
              <w:keepNext w:val="0"/>
              <w:pageBreakBefore w:val="0"/>
              <w:spacing w:line="400" w:lineRule="exact"/>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定期检查防雷防护装置是否完好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r>
            <w:r/>
          </w:p>
          <w:p>
            <w:pPr>
              <w:pStyle w:val="1213"/>
              <w:numPr>
                <w:ilvl w:val="0"/>
                <w:numId w:val="25"/>
              </w:numPr>
              <w:contextualSpacing/>
              <w:ind w:firstLine="420"/>
              <w:keepLines w:val="0"/>
              <w:keepNext w:val="0"/>
              <w:pageBreakBefore w:val="0"/>
              <w:spacing w:line="4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定期出具检测报告。</w:t>
            </w:r>
            <w:r>
              <w:rPr>
                <w:rFonts w:hint="eastAsia" w:ascii="宋体" w:hAnsi="宋体" w:cs="宋体"/>
                <w:b w:val="0"/>
                <w:bCs/>
                <w:color w:val="000000"/>
                <w:sz w:val="24"/>
                <w:szCs w:val="24"/>
                <w:highlight w:val="none"/>
              </w:rPr>
            </w:r>
            <w:r/>
          </w:p>
        </w:tc>
      </w:tr>
    </w:tbl>
    <w:p>
      <w:pPr>
        <w:pStyle w:val="109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6.及</w:t>
      </w:r>
      <w:r>
        <w:rPr>
          <w:rFonts w:hint="eastAsia" w:ascii="宋体" w:hAnsi="宋体" w:cs="宋体"/>
          <w:bCs/>
          <w:color w:val="000000"/>
          <w:sz w:val="24"/>
          <w:highlight w:val="none"/>
        </w:rPr>
        <w:t xml:space="preserve">时排除在线分析仪器出现的故障，要求成交供应商在4小时内响应。如</w:t>
      </w:r>
      <w:r>
        <w:rPr>
          <w:rFonts w:hint="eastAsia" w:ascii="宋体" w:hAnsi="宋体" w:cs="宋体"/>
          <w:bCs/>
          <w:color w:val="000000"/>
          <w:sz w:val="24"/>
          <w:highlight w:val="none"/>
          <w:lang w:val="en-US" w:eastAsia="zh-CN"/>
        </w:rPr>
        <w:t xml:space="preserve">48</w:t>
      </w:r>
      <w:r>
        <w:rPr>
          <w:rFonts w:hint="eastAsia" w:ascii="宋体" w:hAnsi="宋体" w:cs="宋体"/>
          <w:bCs/>
          <w:color w:val="000000"/>
          <w:sz w:val="24"/>
          <w:highlight w:val="none"/>
        </w:rPr>
        <w:t xml:space="preserve">小时内无法解决故障，须通过更换备机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委托有资质的检测机构进行检测</w:t>
      </w:r>
      <w:r>
        <w:rPr>
          <w:rFonts w:hint="eastAsia" w:ascii="宋体" w:hAnsi="宋体" w:cs="宋体"/>
          <w:bCs/>
          <w:color w:val="000000"/>
          <w:sz w:val="24"/>
          <w:highlight w:val="none"/>
          <w:lang w:val="en-US" w:eastAsia="zh-CN"/>
        </w:rPr>
        <w:t xml:space="preserve">或现场快检等方式</w:t>
      </w:r>
      <w:r>
        <w:rPr>
          <w:rFonts w:hint="eastAsia" w:ascii="宋体" w:hAnsi="宋体" w:cs="宋体"/>
          <w:bCs/>
          <w:color w:val="000000"/>
          <w:sz w:val="24"/>
          <w:highlight w:val="none"/>
        </w:rPr>
        <w:t xml:space="preserve">以确保数据的完整性，所需费用由成交供应商负责</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须开展水体溯源排查的，排查过程中所需设备由成交供应商负责</w:t>
      </w:r>
      <w:r>
        <w:rPr>
          <w:rFonts w:hint="eastAsia" w:ascii="宋体" w:hAnsi="宋体" w:cs="宋体"/>
          <w:bCs/>
          <w:color w:val="000000"/>
          <w:sz w:val="24"/>
          <w:highlight w:val="none"/>
        </w:rPr>
        <w:t xml:space="preserve">。对于一些关键</w:t>
      </w:r>
      <w:r>
        <w:rPr>
          <w:rFonts w:hint="eastAsia" w:ascii="宋体" w:hAnsi="宋体" w:cs="宋体"/>
          <w:bCs/>
          <w:color w:val="000000"/>
          <w:sz w:val="24"/>
          <w:highlight w:val="none"/>
        </w:rPr>
        <w:t xml:space="preserve">维护，包括贵重消耗件的更换，需与采购人沟通确认，所产生的维修费用由成交供应商承担。</w:t>
      </w:r>
      <w:r>
        <w:rPr>
          <w:rFonts w:ascii="宋体" w:hAnsi="宋体" w:cs="宋体"/>
          <w:bCs/>
          <w:color w:val="000000"/>
          <w:sz w:val="24"/>
          <w:highlight w:val="none"/>
        </w:rPr>
      </w:r>
      <w:r/>
    </w:p>
    <w:p>
      <w:pPr>
        <w:pStyle w:val="109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7.运行维护期间，成交供应商负责水质自动站的水、电、通讯（电信光纤或无线）维护维修工作，承担水电通讯等费用；负责配套设施（包括空调、站房照明、深井水相关设施等）的维护维修更新及费用。</w:t>
      </w:r>
      <w:r>
        <w:rPr>
          <w:rFonts w:ascii="宋体" w:hAnsi="宋体" w:cs="宋体"/>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8.对水质自动站仪表进行定期校准、核查、比对和性能测试工作，每天至少两次数据调用监控，每周对各水质</w:t>
      </w:r>
      <w:r>
        <w:rPr>
          <w:rFonts w:hint="eastAsia" w:ascii="宋体" w:hAnsi="宋体" w:cs="宋体"/>
          <w:bCs/>
          <w:color w:val="000000"/>
          <w:sz w:val="24"/>
          <w:highlight w:val="none"/>
        </w:rPr>
        <w:t xml:space="preserve">自动站至少一次现场巡查，每两周至少一次仪器校准和标准溶液自查测试，每季度自行开展一次实际水样的实验室比对测试</w:t>
      </w:r>
      <w:r>
        <w:rPr>
          <w:rFonts w:hint="eastAsia" w:ascii="宋体" w:hAnsi="宋体" w:cs="宋体"/>
          <w:bCs/>
          <w:color w:val="000000"/>
          <w:sz w:val="24"/>
          <w:highlight w:val="none"/>
        </w:rPr>
        <w:t xml:space="preserve">，每两年对系统进行一次大修。配合采购人进行水质自动站质量保证和质量质控工作。</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9.保证站房内外和机柜内外的清洁，整齐。</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10.认真、及时做好运行维护记录，汇总各水质自动站每周维护记录，每月以书面形式上报至采购人，该书面报告作为运行维护考核的依据之一，内容包括：每日运行数据监控统计表、</w:t>
      </w:r>
      <w:r>
        <w:rPr>
          <w:rFonts w:hint="eastAsia" w:ascii="宋体" w:hAnsi="宋体" w:cs="宋体"/>
          <w:bCs/>
          <w:color w:val="000000"/>
          <w:sz w:val="24"/>
          <w:highlight w:val="none"/>
        </w:rPr>
        <w:t xml:space="preserve">现场维护记录、仪器设备故障及排除情况登记表、每月运行情况、备品备件管理登记表、仪器质控统计表等。</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hint="eastAsia" w:ascii="宋体" w:hAnsi="宋体" w:cs="宋体"/>
          <w:bCs/>
          <w:color w:val="000000"/>
          <w:sz w:val="24"/>
          <w:highlight w:val="none"/>
        </w:rPr>
        <w:t xml:space="preserve">运行维护期间，委托成交供应商运行维护及管理的全部资产（包括站房及其配套设施、配套监控系统产生的各类数据信息及相关文档资料）属采购人所有，未经采购人书面同意，成交供应商不得以任何方式对各类财产进行出售、抵押或转移。</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12.在委托运行维护及管理期间，成交供应商有责任保护上述全部资产的完整、安全并处于良好状态，遇到自然灾害等不可预防、抗拒外部因素造成资产损害，成交供应商应第一时间向采购人上报相关情况。</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13.成交供应商须全面承担水质自动站资产的保护工作，切实做好安全保卫、防盗、防火、防雷击以及防止其他人为或自然事故的发生。凡是由于保卫保管疏漏或使用不当造成的资产损失，由成交供应商负责赔偿，必要时采购人要追究成交供应商的责任。</w:t>
      </w:r>
      <w:r>
        <w:rPr>
          <w:rFonts w:ascii="宋体" w:hAnsi="宋体" w:cs="宋体"/>
          <w:bCs/>
          <w:color w:val="000000"/>
          <w:sz w:val="24"/>
          <w:highlight w:val="none"/>
        </w:rPr>
      </w:r>
      <w:r/>
    </w:p>
    <w:p>
      <w:pPr>
        <w:pStyle w:val="1094"/>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14.保证水质自动站数据传输的通讯正常，须预留无线传输模式；配合采购人完善数据的集成接入。</w:t>
      </w:r>
      <w:r>
        <w:rPr>
          <w:rFonts w:ascii="宋体" w:hAnsi="宋体" w:cs="宋体"/>
          <w:bCs/>
          <w:color w:val="000000"/>
          <w:sz w:val="24"/>
          <w:highlight w:val="none"/>
        </w:rPr>
      </w:r>
      <w:r/>
    </w:p>
    <w:p>
      <w:pPr>
        <w:pStyle w:val="109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15.</w:t>
      </w:r>
      <w:r>
        <w:rPr>
          <w:rFonts w:hint="eastAsia" w:ascii="宋体" w:hAnsi="宋体" w:cs="宋体"/>
          <w:color w:val="000000"/>
          <w:sz w:val="24"/>
          <w:highlight w:val="none"/>
        </w:rPr>
        <w:t xml:space="preserve">协助采购人做好</w:t>
      </w:r>
      <w:r>
        <w:rPr>
          <w:rFonts w:hint="eastAsia" w:ascii="宋体" w:hAnsi="宋体" w:cs="宋体"/>
          <w:bCs/>
          <w:color w:val="000000"/>
          <w:sz w:val="24"/>
          <w:highlight w:val="none"/>
        </w:rPr>
        <w:t xml:space="preserve">水质自动站</w:t>
      </w:r>
      <w:r>
        <w:rPr>
          <w:rFonts w:hint="eastAsia" w:ascii="宋体" w:hAnsi="宋体" w:cs="宋体"/>
          <w:color w:val="000000"/>
          <w:sz w:val="24"/>
          <w:highlight w:val="none"/>
        </w:rPr>
        <w:t xml:space="preserve">固定资产的管理、备品配件的登记等工作。</w:t>
      </w:r>
      <w:r>
        <w:rPr>
          <w:rFonts w:ascii="宋体" w:hAnsi="宋体" w:cs="宋体"/>
          <w:color w:val="000000"/>
          <w:sz w:val="24"/>
          <w:highlight w:val="none"/>
        </w:rPr>
      </w:r>
      <w:r/>
    </w:p>
    <w:p>
      <w:pPr>
        <w:pStyle w:val="109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16.成交供应商须确保运维人员的相对固定，人员频繁调动、缺乏熟练的运维人员都将视为管理制度混乱而扣减运维费用；节假日期间，成交供应商必须安排值班人员，保证</w:t>
      </w:r>
      <w:r>
        <w:rPr>
          <w:rFonts w:hint="eastAsia" w:ascii="宋体" w:hAnsi="宋体" w:cs="宋体"/>
          <w:color w:val="000000"/>
          <w:sz w:val="24"/>
          <w:highlight w:val="none"/>
        </w:rPr>
        <w:t xml:space="preserve">水质自动站</w:t>
      </w:r>
      <w:r>
        <w:rPr>
          <w:rFonts w:hint="eastAsia" w:ascii="宋体" w:hAnsi="宋体" w:cs="宋体"/>
          <w:bCs/>
          <w:color w:val="000000"/>
          <w:sz w:val="24"/>
          <w:highlight w:val="none"/>
        </w:rPr>
        <w:t xml:space="preserve">正常运行。</w:t>
      </w:r>
      <w:r>
        <w:rPr>
          <w:rFonts w:ascii="宋体" w:hAnsi="宋体" w:cs="宋体"/>
          <w:color w:val="000000"/>
          <w:sz w:val="24"/>
          <w:highlight w:val="none"/>
        </w:rPr>
      </w:r>
      <w:r/>
    </w:p>
    <w:p>
      <w:pPr>
        <w:pStyle w:val="109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17.采购人根据管理要求和运维服务成效考核的情况，有权要求成交供应商适当增加车辆和人员。</w:t>
      </w:r>
      <w:r>
        <w:rPr>
          <w:rFonts w:ascii="宋体" w:hAnsi="宋体" w:cs="宋体"/>
          <w:color w:val="000000"/>
          <w:sz w:val="24"/>
          <w:highlight w:val="none"/>
        </w:rPr>
      </w:r>
      <w:r/>
    </w:p>
    <w:p>
      <w:pPr>
        <w:pStyle w:val="1094"/>
        <w:ind w:firstLine="480"/>
        <w:keepLines w:val="0"/>
        <w:keepNext w:val="0"/>
        <w:pageBreakBefore w:val="0"/>
        <w:spacing w:line="360" w:lineRule="auto"/>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18.</w:t>
      </w:r>
      <w:r>
        <w:rPr>
          <w:rFonts w:hint="eastAsia" w:ascii="宋体" w:hAnsi="宋体" w:cs="宋体"/>
          <w:color w:val="000000"/>
          <w:sz w:val="24"/>
          <w:highlight w:val="none"/>
        </w:rPr>
        <w:t xml:space="preserve">切实按照《</w:t>
      </w:r>
      <w:r>
        <w:rPr>
          <w:rFonts w:hint="eastAsia" w:ascii="宋体" w:hAnsi="宋体" w:cs="宋体"/>
          <w:bCs/>
          <w:color w:val="000000"/>
          <w:sz w:val="24"/>
          <w:highlight w:val="none"/>
        </w:rPr>
        <w:t xml:space="preserve">常州市环境水质（地表水）自动监测预警系统运行管理办法（试行）》对运营水质自动站进行管理。</w:t>
      </w:r>
      <w:r>
        <w:rPr>
          <w:rFonts w:hint="eastAsia" w:ascii="宋体" w:hAnsi="宋体" w:cs="宋体"/>
          <w:bCs/>
          <w:color w:val="000000"/>
          <w:sz w:val="24"/>
          <w:highlight w:val="none"/>
        </w:rPr>
      </w:r>
      <w:r/>
    </w:p>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C.工作考核要求</w:t>
      </w:r>
      <w:r>
        <w:rPr>
          <w:rFonts w:ascii="宋体" w:hAnsi="宋体" w:eastAsia="宋体" w:cs="宋体"/>
          <w:b w:val="0"/>
          <w:bCs/>
          <w:color w:val="000000"/>
          <w:sz w:val="24"/>
          <w:szCs w:val="24"/>
          <w:highlight w:val="none"/>
          <w:lang w:val="en-US" w:eastAsia="zh-CN"/>
        </w:rPr>
      </w:r>
      <w:r/>
    </w:p>
    <w:p>
      <w:pPr>
        <w:pStyle w:val="1094"/>
        <w:ind w:firstLine="488"/>
        <w:spacing w:line="360" w:lineRule="auto"/>
        <w:rPr>
          <w:rFonts w:ascii="宋体" w:hAnsi="宋体" w:cs="宋体"/>
          <w:color w:val="000000"/>
          <w:spacing w:val="2"/>
          <w:sz w:val="24"/>
          <w:highlight w:val="none"/>
          <w:lang w:val="en-US" w:eastAsia="zh-CN"/>
        </w:rPr>
      </w:pPr>
      <w:r>
        <w:rPr>
          <w:rFonts w:ascii="宋体" w:hAnsi="宋体" w:cs="宋体"/>
          <w:color w:val="000000"/>
          <w:spacing w:val="2"/>
          <w:sz w:val="24"/>
          <w:highlight w:val="none"/>
          <w:lang w:val="en-US" w:eastAsia="zh-CN"/>
        </w:rPr>
        <w:t xml:space="preserve">采购人采取单站考核的方式，定期或不定期对站点开展数据有效率的考核。</w:t>
      </w:r>
      <w:r>
        <w:rPr>
          <w:rFonts w:ascii="宋体" w:hAnsi="宋体" w:cs="宋体"/>
          <w:color w:val="000000"/>
          <w:spacing w:val="2"/>
          <w:sz w:val="24"/>
          <w:highlight w:val="none"/>
          <w:lang w:val="en-US" w:eastAsia="zh-CN"/>
        </w:rPr>
      </w:r>
      <w:r/>
    </w:p>
    <w:p>
      <w:pPr>
        <w:pStyle w:val="1094"/>
        <w:ind w:firstLine="488"/>
        <w:spacing w:line="360" w:lineRule="auto"/>
        <w:rPr>
          <w:rFonts w:ascii="宋体" w:hAnsi="宋体" w:cs="宋体"/>
          <w:color w:val="000000"/>
          <w:spacing w:val="2"/>
          <w:sz w:val="24"/>
          <w:highlight w:val="none"/>
          <w:lang w:val="en-US" w:eastAsia="zh-CN"/>
        </w:rPr>
      </w:pPr>
      <w:r>
        <w:rPr>
          <w:rFonts w:hint="eastAsia" w:ascii="宋体" w:hAnsi="宋体" w:cs="宋体"/>
          <w:color w:val="000000"/>
          <w:spacing w:val="2"/>
          <w:sz w:val="24"/>
          <w:highlight w:val="none"/>
          <w:lang w:val="en-US" w:eastAsia="zh-CN"/>
        </w:rPr>
        <w:t xml:space="preserve">（1）</w:t>
      </w:r>
      <w:r>
        <w:rPr>
          <w:rFonts w:ascii="宋体" w:hAnsi="宋体" w:cs="宋体"/>
          <w:color w:val="000000"/>
          <w:spacing w:val="2"/>
          <w:sz w:val="24"/>
          <w:highlight w:val="none"/>
          <w:lang w:val="en-US" w:eastAsia="zh-CN"/>
        </w:rPr>
        <w:t xml:space="preserve">数据有效率</w:t>
      </w:r>
      <w:r>
        <w:rPr>
          <w:rFonts w:ascii="宋体" w:hAnsi="宋体" w:cs="宋体"/>
          <w:color w:val="000000"/>
          <w:spacing w:val="2"/>
          <w:sz w:val="24"/>
          <w:highlight w:val="none"/>
          <w:lang w:val="en-US" w:eastAsia="zh-CN"/>
        </w:rPr>
      </w:r>
      <w:r/>
    </w:p>
    <w:p>
      <w:pPr>
        <w:pStyle w:val="1094"/>
        <w:ind w:firstLine="488"/>
        <w:spacing w:line="360" w:lineRule="auto"/>
        <w:rPr>
          <w:rFonts w:hint="eastAsia" w:ascii="宋体" w:hAnsi="宋体" w:cs="宋体"/>
          <w:color w:val="000000"/>
          <w:spacing w:val="2"/>
          <w:sz w:val="24"/>
          <w:highlight w:val="none"/>
          <w:lang w:val="en-US" w:eastAsia="zh-CN"/>
        </w:rPr>
      </w:pPr>
      <w:r>
        <w:rPr>
          <w:rFonts w:ascii="宋体" w:hAnsi="宋体" w:cs="宋体"/>
          <w:color w:val="000000"/>
          <w:spacing w:val="2"/>
          <w:sz w:val="24"/>
          <w:highlight w:val="none"/>
          <w:lang w:val="en-US" w:eastAsia="zh-CN"/>
        </w:rPr>
        <w:t xml:space="preserve">正常运行期间数据有效率=（应获取数据-无效数据）/应获取数据×100%。其中</w:t>
      </w:r>
      <w:r>
        <w:rPr>
          <w:rFonts w:hint="eastAsia" w:ascii="宋体" w:hAnsi="宋体" w:cs="宋体"/>
          <w:color w:val="000000"/>
          <w:spacing w:val="2"/>
          <w:sz w:val="24"/>
          <w:highlight w:val="none"/>
          <w:lang w:val="en-US" w:eastAsia="zh-CN"/>
        </w:rPr>
        <w:t xml:space="preserve">，</w:t>
      </w:r>
      <w:r>
        <w:rPr>
          <w:rFonts w:ascii="宋体" w:hAnsi="宋体" w:cs="宋体"/>
          <w:color w:val="000000"/>
          <w:spacing w:val="2"/>
          <w:sz w:val="24"/>
          <w:highlight w:val="none"/>
          <w:lang w:val="en-US" w:eastAsia="zh-CN"/>
        </w:rPr>
        <w:t xml:space="preserve">“应获取数据”为按照监测频次要求扣除停运时段后理论应有的监测数据，以平台导出结果为准；“无效数据”为仪器故障、质控不合格期间产生的数据或经数据审核人员审核确认为无效的数据等</w:t>
      </w:r>
      <w:r>
        <w:rPr>
          <w:rFonts w:hint="eastAsia" w:ascii="宋体" w:hAnsi="宋体" w:cs="宋体"/>
          <w:color w:val="000000"/>
          <w:spacing w:val="2"/>
          <w:sz w:val="24"/>
          <w:highlight w:val="none"/>
          <w:lang w:val="en-US" w:eastAsia="zh-CN"/>
        </w:rPr>
        <w:t xml:space="preserve">（不可抗力导致的运维数据有效率不足除外）。要求单站点考核期内数据平均有效率≥90%，平均有效率为各参数监测数据有效率之和的平均值。</w:t>
      </w:r>
      <w:r>
        <w:rPr>
          <w:rFonts w:hint="eastAsia" w:ascii="宋体" w:hAnsi="宋体" w:cs="宋体"/>
          <w:color w:val="000000"/>
          <w:spacing w:val="2"/>
          <w:sz w:val="24"/>
          <w:highlight w:val="none"/>
          <w:lang w:val="en-US" w:eastAsia="zh-CN"/>
        </w:rPr>
      </w:r>
      <w:r/>
    </w:p>
    <w:p>
      <w:pPr>
        <w:pStyle w:val="109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（2）费用支付：</w:t>
      </w:r>
      <w:r>
        <w:rPr>
          <w:rFonts w:hint="eastAsia" w:ascii="宋体" w:hAnsi="宋体" w:eastAsia="宋体" w:cs="宋体"/>
          <w:color w:val="000000"/>
          <w:sz w:val="24"/>
          <w:highlight w:val="none"/>
        </w:rPr>
      </w:r>
      <w:r/>
    </w:p>
    <w:p>
      <w:pPr>
        <w:pStyle w:val="10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a. 当单站考核周期内监测数据</w:t>
      </w:r>
      <w:r>
        <w:rPr>
          <w:rFonts w:hint="eastAsia" w:ascii="宋体" w:hAnsi="宋体" w:cs="宋体"/>
          <w:bCs/>
          <w:color w:val="000000"/>
          <w:sz w:val="24"/>
          <w:highlight w:val="none"/>
          <w:lang w:val="en-US" w:eastAsia="zh-CN"/>
        </w:rPr>
        <w:t xml:space="preserve">平均</w:t>
      </w:r>
      <w:r>
        <w:rPr>
          <w:rFonts w:hint="eastAsia" w:ascii="宋体" w:hAnsi="宋体" w:cs="宋体"/>
          <w:bCs/>
          <w:color w:val="000000"/>
          <w:sz w:val="24"/>
          <w:highlight w:val="none"/>
        </w:rPr>
        <w:t xml:space="preserve">有效率不低于90%，不扣款。</w:t>
      </w:r>
      <w:r>
        <w:rPr>
          <w:rFonts w:hint="eastAsia" w:ascii="宋体" w:hAnsi="宋体" w:cs="宋体"/>
          <w:bCs/>
          <w:color w:val="000000"/>
          <w:sz w:val="24"/>
          <w:highlight w:val="none"/>
        </w:rPr>
      </w:r>
      <w:r/>
    </w:p>
    <w:p>
      <w:pPr>
        <w:pStyle w:val="10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b. 当单站考核周期内监测数据</w:t>
      </w:r>
      <w:r>
        <w:rPr>
          <w:rFonts w:hint="eastAsia" w:ascii="宋体" w:hAnsi="宋体" w:cs="宋体"/>
          <w:bCs/>
          <w:color w:val="000000"/>
          <w:sz w:val="24"/>
          <w:highlight w:val="none"/>
          <w:lang w:val="en-US" w:eastAsia="zh-CN"/>
        </w:rPr>
        <w:t xml:space="preserve">平均</w:t>
      </w:r>
      <w:r>
        <w:rPr>
          <w:rFonts w:hint="eastAsia" w:ascii="宋体" w:hAnsi="宋体" w:cs="宋体"/>
          <w:bCs/>
          <w:color w:val="000000"/>
          <w:sz w:val="24"/>
          <w:highlight w:val="none"/>
        </w:rPr>
        <w:t xml:space="preserve">有效率在80%（含）～90%（不含），扣除该</w:t>
      </w:r>
      <w:r>
        <w:rPr>
          <w:rFonts w:hint="eastAsia" w:ascii="宋体" w:hAnsi="宋体" w:cs="宋体"/>
          <w:bCs/>
          <w:color w:val="000000"/>
          <w:sz w:val="24"/>
          <w:highlight w:val="none"/>
          <w:lang w:val="en-US" w:eastAsia="zh-CN"/>
        </w:rPr>
        <w:t xml:space="preserve">站点该</w:t>
      </w:r>
      <w:r>
        <w:rPr>
          <w:rFonts w:hint="eastAsia" w:ascii="宋体" w:hAnsi="宋体" w:cs="宋体"/>
          <w:bCs/>
          <w:color w:val="000000"/>
          <w:sz w:val="24"/>
          <w:highlight w:val="none"/>
        </w:rPr>
        <w:t xml:space="preserve">考核周期运维费的</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c. 当单站考核周期内监测数据</w:t>
      </w:r>
      <w:r>
        <w:rPr>
          <w:rFonts w:hint="eastAsia" w:ascii="宋体" w:hAnsi="宋体" w:cs="宋体"/>
          <w:bCs/>
          <w:color w:val="000000"/>
          <w:sz w:val="24"/>
          <w:highlight w:val="none"/>
          <w:lang w:val="en-US" w:eastAsia="zh-CN"/>
        </w:rPr>
        <w:t xml:space="preserve">平均</w:t>
      </w:r>
      <w:r>
        <w:rPr>
          <w:rFonts w:hint="eastAsia" w:ascii="宋体" w:hAnsi="宋体" w:cs="宋体"/>
          <w:bCs/>
          <w:color w:val="000000"/>
          <w:sz w:val="24"/>
          <w:highlight w:val="none"/>
        </w:rPr>
        <w:t xml:space="preserve">有效率在70%（含）～80%（不含），扣除该</w:t>
      </w:r>
      <w:r>
        <w:rPr>
          <w:rFonts w:hint="eastAsia" w:ascii="宋体" w:hAnsi="宋体" w:cs="宋体"/>
          <w:bCs/>
          <w:color w:val="000000"/>
          <w:sz w:val="24"/>
          <w:highlight w:val="none"/>
          <w:lang w:val="en-US" w:eastAsia="zh-CN"/>
        </w:rPr>
        <w:t xml:space="preserve">站点</w:t>
      </w:r>
      <w:r>
        <w:rPr>
          <w:rFonts w:hint="eastAsia" w:ascii="宋体" w:hAnsi="宋体" w:cs="宋体"/>
          <w:bCs/>
          <w:color w:val="000000"/>
          <w:sz w:val="24"/>
          <w:highlight w:val="none"/>
        </w:rPr>
        <w:t xml:space="preserve">该考核周期运维费</w:t>
      </w:r>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d. 当单站考核周期内监测数据</w:t>
      </w:r>
      <w:r>
        <w:rPr>
          <w:rFonts w:hint="eastAsia" w:ascii="宋体" w:hAnsi="宋体" w:cs="宋体"/>
          <w:bCs/>
          <w:color w:val="000000"/>
          <w:sz w:val="24"/>
          <w:highlight w:val="none"/>
          <w:lang w:val="en-US" w:eastAsia="zh-CN"/>
        </w:rPr>
        <w:t xml:space="preserve">平均</w:t>
      </w:r>
      <w:r>
        <w:rPr>
          <w:rFonts w:hint="eastAsia" w:ascii="宋体" w:hAnsi="宋体" w:cs="宋体"/>
          <w:bCs/>
          <w:color w:val="000000"/>
          <w:sz w:val="24"/>
          <w:highlight w:val="none"/>
        </w:rPr>
        <w:t xml:space="preserve">有效率不低于70%，但</w:t>
      </w:r>
      <w:r>
        <w:rPr>
          <w:rFonts w:hint="eastAsia" w:ascii="宋体" w:hAnsi="宋体" w:cs="宋体"/>
          <w:bCs/>
          <w:color w:val="000000"/>
          <w:sz w:val="24"/>
          <w:highlight w:val="none"/>
          <w:lang w:val="en-US" w:eastAsia="zh-CN"/>
        </w:rPr>
        <w:t xml:space="preserve">任一</w:t>
      </w:r>
      <w:r>
        <w:rPr>
          <w:rFonts w:hint="eastAsia" w:ascii="宋体" w:hAnsi="宋体" w:cs="宋体"/>
          <w:bCs/>
          <w:color w:val="000000"/>
          <w:sz w:val="24"/>
          <w:highlight w:val="none"/>
        </w:rPr>
        <w:t xml:space="preserve">参数考核周期内监测数据有效率</w:t>
      </w:r>
      <w:r>
        <w:rPr>
          <w:rFonts w:hint="eastAsia" w:ascii="宋体" w:hAnsi="宋体" w:cs="宋体"/>
          <w:bCs/>
          <w:color w:val="000000"/>
          <w:sz w:val="24"/>
          <w:highlight w:val="none"/>
          <w:lang w:val="en-US" w:eastAsia="zh-CN"/>
        </w:rPr>
        <w:t xml:space="preserve">在50%以下</w:t>
      </w:r>
      <w:r>
        <w:rPr>
          <w:rFonts w:hint="eastAsia" w:ascii="宋体" w:hAnsi="宋体" w:cs="宋体"/>
          <w:bCs/>
          <w:color w:val="000000"/>
          <w:sz w:val="24"/>
          <w:highlight w:val="none"/>
        </w:rPr>
        <w:t xml:space="preserve">的情形时，</w:t>
      </w:r>
      <w:r>
        <w:rPr>
          <w:rFonts w:hint="eastAsia" w:ascii="宋体" w:hAnsi="宋体" w:cs="宋体"/>
          <w:bCs/>
          <w:color w:val="000000"/>
          <w:sz w:val="24"/>
          <w:highlight w:val="none"/>
          <w:lang w:val="en-US" w:eastAsia="zh-CN"/>
        </w:rPr>
        <w:t xml:space="preserve">则</w:t>
      </w:r>
      <w:r>
        <w:rPr>
          <w:rFonts w:hint="eastAsia" w:ascii="宋体" w:hAnsi="宋体" w:cs="宋体"/>
          <w:bCs/>
          <w:color w:val="000000"/>
          <w:sz w:val="24"/>
          <w:highlight w:val="none"/>
        </w:rPr>
        <w:t xml:space="preserve">扣</w:t>
      </w:r>
      <w:r>
        <w:rPr>
          <w:rFonts w:hint="eastAsia" w:ascii="宋体" w:hAnsi="宋体" w:cs="宋体"/>
          <w:bCs/>
          <w:color w:val="000000"/>
          <w:sz w:val="24"/>
          <w:highlight w:val="none"/>
          <w:lang w:val="en-US" w:eastAsia="zh-CN"/>
        </w:rPr>
        <w:t xml:space="preserve">除</w:t>
      </w:r>
      <w:r>
        <w:rPr>
          <w:rFonts w:hint="eastAsia" w:ascii="宋体" w:hAnsi="宋体" w:cs="宋体"/>
          <w:bCs/>
          <w:color w:val="000000"/>
          <w:sz w:val="24"/>
          <w:highlight w:val="none"/>
        </w:rPr>
        <w:t xml:space="preserve">该参数考核周期运维费</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9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e. 当单站考核周期内监测数据</w:t>
      </w:r>
      <w:r>
        <w:rPr>
          <w:rFonts w:hint="eastAsia" w:ascii="宋体" w:hAnsi="宋体" w:cs="宋体"/>
          <w:bCs/>
          <w:color w:val="000000"/>
          <w:sz w:val="24"/>
          <w:highlight w:val="none"/>
          <w:lang w:val="en-US" w:eastAsia="zh-CN"/>
        </w:rPr>
        <w:t xml:space="preserve">平均</w:t>
      </w:r>
      <w:r>
        <w:rPr>
          <w:rFonts w:hint="eastAsia" w:ascii="宋体" w:hAnsi="宋体" w:cs="宋体"/>
          <w:bCs/>
          <w:color w:val="000000"/>
          <w:sz w:val="24"/>
          <w:highlight w:val="none"/>
        </w:rPr>
        <w:t xml:space="preserve">有效率低于</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0%，扣除该考核周期全部运维费。</w:t>
      </w:r>
      <w:r>
        <w:rPr>
          <w:rFonts w:hint="eastAsia" w:ascii="宋体" w:hAnsi="宋体" w:cs="宋体"/>
          <w:bCs/>
          <w:color w:val="000000"/>
          <w:sz w:val="24"/>
          <w:highlight w:val="none"/>
        </w:rPr>
      </w:r>
      <w:r/>
    </w:p>
    <w:p>
      <w:pPr>
        <w:pStyle w:val="1094"/>
        <w:ind w:firstLine="480"/>
        <w:keepLines w:val="0"/>
        <w:keepNext w:val="0"/>
        <w:pageBreakBefore w:val="0"/>
        <w:spacing w:line="360" w:lineRule="auto"/>
        <w:rPr>
          <w:rFonts w:hint="eastAsia" w:ascii="宋体" w:hAnsi="宋体" w:cs="宋体"/>
          <w:bCs/>
          <w:color w:val="000000"/>
          <w:sz w:val="24"/>
          <w:highlight w:val="none"/>
          <w:lang w:val="en-US" w:eastAsia="zh-CN"/>
        </w:rPr>
        <w:outlineLvl w:val="9"/>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当设备出现故障48</w:t>
      </w:r>
      <w:r>
        <w:rPr>
          <w:rFonts w:hint="eastAsia" w:ascii="宋体" w:hAnsi="宋体" w:cs="宋体"/>
          <w:bCs/>
          <w:color w:val="000000"/>
          <w:sz w:val="24"/>
          <w:highlight w:val="none"/>
        </w:rPr>
        <w:t xml:space="preserve">小时内无法解决</w:t>
      </w:r>
      <w:r>
        <w:rPr>
          <w:rFonts w:hint="eastAsia" w:ascii="宋体" w:hAnsi="宋体" w:cs="宋体"/>
          <w:bCs/>
          <w:color w:val="000000"/>
          <w:sz w:val="24"/>
          <w:highlight w:val="none"/>
          <w:lang w:val="en-US" w:eastAsia="zh-CN"/>
        </w:rPr>
        <w:t xml:space="preserve">，应及时更换备机，或采用采样送检、现场快检等方式</w:t>
      </w:r>
      <w:r>
        <w:rPr>
          <w:rFonts w:hint="eastAsia" w:ascii="宋体" w:hAnsi="宋体" w:cs="宋体"/>
          <w:bCs/>
          <w:color w:val="000000"/>
          <w:sz w:val="24"/>
          <w:highlight w:val="none"/>
        </w:rPr>
        <w:t xml:space="preserve">以确保数据的完整性</w:t>
      </w:r>
      <w:r>
        <w:rPr>
          <w:rFonts w:hint="eastAsia" w:ascii="宋体" w:hAnsi="宋体" w:cs="宋体"/>
          <w:bCs/>
          <w:color w:val="000000"/>
          <w:sz w:val="24"/>
          <w:highlight w:val="none"/>
          <w:lang w:val="en-US" w:eastAsia="zh-CN"/>
        </w:rPr>
        <w:t xml:space="preserve">，检测结果应及时发送至相关主管单位，该期间监测数据不纳入考核。</w:t>
      </w:r>
      <w:r>
        <w:rPr>
          <w:rFonts w:hint="eastAsia" w:ascii="宋体" w:hAnsi="宋体" w:cs="宋体"/>
          <w:bCs/>
          <w:color w:val="000000"/>
          <w:sz w:val="24"/>
          <w:highlight w:val="none"/>
          <w:lang w:val="en-US" w:eastAsia="zh-CN"/>
        </w:rPr>
      </w:r>
      <w:r/>
    </w:p>
    <w:p>
      <w:pPr>
        <w:pStyle w:val="1094"/>
        <w:ind w:firstLine="480"/>
        <w:keepLines w:val="0"/>
        <w:keepNext w:val="0"/>
        <w:pageBreakBefore w:val="0"/>
        <w:spacing w:line="360" w:lineRule="auto"/>
        <w:rPr>
          <w:rFonts w:ascii="宋体" w:hAnsi="宋体" w:cs="宋体"/>
          <w:bCs/>
          <w:color w:val="000000"/>
          <w:sz w:val="24"/>
          <w:highlight w:val="none"/>
          <w:lang w:val="en-US" w:eastAsia="zh-CN"/>
        </w:rPr>
        <w:outlineLvl w:val="9"/>
      </w:pPr>
      <w:r>
        <w:rPr>
          <w:rFonts w:hint="eastAsia" w:ascii="宋体" w:hAnsi="宋体" w:cs="宋体"/>
          <w:bCs/>
          <w:color w:val="000000"/>
          <w:sz w:val="24"/>
          <w:highlight w:val="none"/>
          <w:lang w:val="en-US" w:eastAsia="zh-CN"/>
        </w:rPr>
        <w:t xml:space="preserve">D.其他要求</w:t>
      </w:r>
      <w:r>
        <w:rPr>
          <w:rFonts w:ascii="宋体" w:hAnsi="宋体" w:cs="宋体"/>
          <w:bCs/>
          <w:color w:val="000000"/>
          <w:sz w:val="24"/>
          <w:highlight w:val="none"/>
          <w:lang w:val="en-US"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运维人员在履行工作职责期间（包括上下班途中），发生自身的人身伤害、伤亡以及事故等，均由成交供应商负责处理并承担经济和道义上的责任，采购人不承担任何责任。成交供应商与所派遣的运维人员发生纠纷，均由成交供应商负责调解与处理，采购人不承担责任。</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若成交供应商非目前已在执行运维工作的公司，需由成交供应商按成交金额、实际开展的运维工作量核算金额，支付给成交供应商履行本包合同前实际承担运维工作的公司，并做好与本包合同前实际承担运维工作的公司的交接工作、核算金额以成交供应商和实际运维公司双方达成的协议或合同为准。</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根据《江苏省政府采购履约验收管理办法》要求，成交供应商在合同中期（终期）需配合采购人完成履约验收工作，提供履约工作报告（报告需陈述运维期工作开展情况、目标达成情况、运维日志汇总等）并加盖公章，经采购人验收合格后，作为成交供应商履约完成工作依据。</w:t>
      </w:r>
      <w:r>
        <w:rPr>
          <w:rFonts w:hint="eastAsia" w:ascii="宋体" w:hAnsi="宋体" w:eastAsia="宋体" w:cs="宋体"/>
          <w:color w:val="000000"/>
          <w:sz w:val="24"/>
          <w:szCs w:val="24"/>
          <w:highlight w:val="none"/>
          <w:lang w:val="en-US" w:eastAsia="zh-CN"/>
        </w:rPr>
      </w:r>
      <w:r/>
    </w:p>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02包：</w:t>
      </w:r>
      <w:r>
        <w:rPr>
          <w:rFonts w:ascii="宋体" w:hAnsi="宋体" w:eastAsia="宋体" w:cs="宋体"/>
          <w:b w:val="0"/>
          <w:bCs/>
          <w:color w:val="000000"/>
          <w:sz w:val="24"/>
          <w:szCs w:val="24"/>
          <w:highlight w:val="none"/>
          <w:lang w:val="en-US" w:eastAsia="zh-CN"/>
        </w:rPr>
      </w:r>
      <w:r/>
    </w:p>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A.站点详细信息及运行维护的主要设备情况见表 1、 表2。</w:t>
      </w:r>
      <w:r>
        <w:rPr>
          <w:rFonts w:ascii="宋体" w:hAnsi="宋体" w:eastAsia="宋体" w:cs="宋体"/>
          <w:b w:val="0"/>
          <w:bCs/>
          <w:color w:val="000000"/>
          <w:sz w:val="24"/>
          <w:szCs w:val="24"/>
          <w:highlight w:val="none"/>
          <w:lang w:val="en-US" w:eastAsia="zh-CN"/>
        </w:rPr>
      </w:r>
      <w:r/>
    </w:p>
    <w:p>
      <w:pPr>
        <w:pStyle w:val="1094"/>
        <w:jc w:val="center"/>
        <w:spacing w:before="35" w:line="220" w:lineRule="auto"/>
        <w:rPr>
          <w:rFonts w:ascii="宋体" w:hAnsi="宋体" w:eastAsia="宋体" w:cs="宋体"/>
          <w:color w:val="000000"/>
          <w:sz w:val="24"/>
          <w:szCs w:val="24"/>
          <w:highlight w:val="none"/>
        </w:rPr>
      </w:pPr>
      <w:r>
        <w:rPr>
          <w:rFonts w:ascii="宋体" w:hAnsi="宋体" w:eastAsia="宋体" w:cs="宋体"/>
          <w:b/>
          <w:bCs/>
          <w:color w:val="000000"/>
          <w:spacing w:val="-10"/>
          <w:sz w:val="24"/>
          <w:szCs w:val="24"/>
          <w:highlight w:val="none"/>
        </w:rPr>
        <w:t xml:space="preserve">表</w:t>
      </w:r>
      <w:r>
        <w:rPr>
          <w:rFonts w:ascii="宋体" w:hAnsi="宋体" w:eastAsia="宋体" w:cs="宋体"/>
          <w:color w:val="000000"/>
          <w:spacing w:val="-31"/>
          <w:sz w:val="24"/>
          <w:szCs w:val="24"/>
          <w:highlight w:val="none"/>
        </w:rPr>
        <w:t xml:space="preserve"> </w:t>
      </w:r>
      <w:r>
        <w:rPr>
          <w:rFonts w:ascii="宋体" w:hAnsi="宋体" w:eastAsia="宋体" w:cs="宋体"/>
          <w:b/>
          <w:bCs/>
          <w:color w:val="000000"/>
          <w:spacing w:val="-10"/>
          <w:sz w:val="24"/>
          <w:szCs w:val="24"/>
          <w:highlight w:val="none"/>
        </w:rPr>
        <w:t xml:space="preserve">1</w:t>
      </w:r>
      <w:r>
        <w:rPr>
          <w:rFonts w:ascii="宋体" w:hAnsi="宋体" w:eastAsia="宋体" w:cs="宋体"/>
          <w:color w:val="000000"/>
          <w:spacing w:val="6"/>
          <w:sz w:val="24"/>
          <w:szCs w:val="24"/>
          <w:highlight w:val="none"/>
        </w:rPr>
        <w:t xml:space="preserve">  </w:t>
      </w:r>
      <w:r>
        <w:rPr>
          <w:rFonts w:ascii="宋体" w:hAnsi="宋体" w:eastAsia="宋体" w:cs="宋体"/>
          <w:b/>
          <w:bCs/>
          <w:color w:val="000000"/>
          <w:spacing w:val="-10"/>
          <w:sz w:val="24"/>
          <w:szCs w:val="24"/>
          <w:highlight w:val="none"/>
        </w:rPr>
        <w:t xml:space="preserve">站点情况</w:t>
      </w:r>
      <w:r>
        <w:rPr>
          <w:rFonts w:ascii="宋体" w:hAnsi="宋体" w:eastAsia="宋体" w:cs="宋体"/>
          <w:color w:val="000000"/>
          <w:sz w:val="24"/>
          <w:szCs w:val="24"/>
          <w:highlight w:val="none"/>
        </w:rPr>
      </w:r>
      <w:r/>
    </w:p>
    <w:p>
      <w:pPr>
        <w:pStyle w:val="1094"/>
        <w:spacing w:line="145" w:lineRule="exact"/>
        <w:rPr>
          <w:rFonts w:ascii="Times New Roman" w:hAnsi="Times New Roman" w:eastAsia="宋体"/>
          <w:color w:val="000000"/>
          <w:szCs w:val="24"/>
          <w:highlight w:val="none"/>
        </w:rPr>
      </w:pPr>
      <w:r>
        <w:rPr>
          <w:rFonts w:ascii="Times New Roman" w:hAnsi="Times New Roman" w:eastAsia="宋体"/>
          <w:color w:val="000000"/>
          <w:szCs w:val="24"/>
          <w:highlight w:val="none"/>
        </w:rPr>
      </w:r>
      <w:r/>
    </w:p>
    <w:tbl>
      <w:tblP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8"/>
        <w:gridCol w:w="1882"/>
        <w:gridCol w:w="2343"/>
        <w:gridCol w:w="3613"/>
        <w:gridCol w:w="778"/>
      </w:tblGrid>
      <w:tr>
        <w:trPr>
          <w:trHeight w:val="477"/>
        </w:trPr>
        <w:tc>
          <w:tcPr>
            <w:tcW w:w="424"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pacing w:val="-3"/>
                <w:sz w:val="24"/>
                <w:szCs w:val="24"/>
                <w:highlight w:val="none"/>
                <w:lang w:eastAsia="en-US"/>
              </w:rPr>
              <w:t xml:space="preserve">序号</w:t>
            </w:r>
            <w:r>
              <w:rPr>
                <w:rFonts w:ascii="宋体" w:hAnsi="宋体" w:eastAsia="宋体" w:cs="宋体"/>
                <w:b/>
                <w:bCs/>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pacing w:val="-2"/>
                <w:sz w:val="24"/>
                <w:szCs w:val="24"/>
                <w:highlight w:val="none"/>
                <w:lang w:eastAsia="en-US"/>
              </w:rPr>
              <w:t xml:space="preserve">站点名称</w:t>
            </w:r>
            <w:r>
              <w:rPr>
                <w:rFonts w:ascii="宋体" w:hAnsi="宋体" w:eastAsia="宋体" w:cs="宋体"/>
                <w:b/>
                <w:bCs/>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pacing w:val="-3"/>
                <w:sz w:val="24"/>
                <w:szCs w:val="24"/>
                <w:highlight w:val="none"/>
                <w:lang w:eastAsia="en-US"/>
              </w:rPr>
              <w:t xml:space="preserve">经纬度</w:t>
            </w:r>
            <w:r>
              <w:rPr>
                <w:rFonts w:ascii="宋体" w:hAnsi="宋体" w:eastAsia="宋体" w:cs="宋体"/>
                <w:b/>
                <w:bCs/>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pacing w:val="-3"/>
                <w:sz w:val="24"/>
                <w:szCs w:val="24"/>
                <w:highlight w:val="none"/>
                <w:lang w:eastAsia="en-US"/>
              </w:rPr>
              <w:t xml:space="preserve">详细地址</w:t>
            </w:r>
            <w:r>
              <w:rPr>
                <w:rFonts w:ascii="宋体" w:hAnsi="宋体" w:eastAsia="宋体" w:cs="宋体"/>
                <w:b/>
                <w:bCs/>
                <w:color w:val="000000"/>
                <w:sz w:val="24"/>
                <w:szCs w:val="24"/>
                <w:highlight w:val="none"/>
                <w:lang w:eastAsia="en-US"/>
              </w:rPr>
            </w:r>
            <w:r/>
          </w:p>
        </w:tc>
        <w:tc>
          <w:tcPr>
            <w:tcW w:w="413"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pacing w:val="-4"/>
                <w:sz w:val="24"/>
                <w:szCs w:val="24"/>
                <w:highlight w:val="none"/>
                <w:lang w:eastAsia="en-US"/>
              </w:rPr>
              <w:t xml:space="preserve">备注</w:t>
            </w:r>
            <w:r>
              <w:rPr>
                <w:rFonts w:ascii="宋体" w:hAnsi="宋体" w:eastAsia="宋体" w:cs="宋体"/>
                <w:b/>
                <w:bCs/>
                <w:color w:val="000000"/>
                <w:sz w:val="24"/>
                <w:szCs w:val="24"/>
                <w:highlight w:val="none"/>
                <w:lang w:eastAsia="en-US"/>
              </w:rPr>
            </w:r>
            <w:r/>
          </w:p>
        </w:tc>
      </w:tr>
      <w:tr>
        <w:trPr>
          <w:trHeight w:val="938"/>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兰陵街道</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pacing w:val="-15"/>
                <w:sz w:val="24"/>
                <w:szCs w:val="24"/>
                <w:highlight w:val="none"/>
                <w:lang w:eastAsia="en-US"/>
              </w:rPr>
            </w:pPr>
            <w:r>
              <w:rPr>
                <w:rFonts w:hint="eastAsia" w:ascii="宋体" w:hAnsi="宋体" w:eastAsia="宋体" w:cs="宋体"/>
                <w:color w:val="000000"/>
                <w:spacing w:val="-15"/>
                <w:sz w:val="24"/>
                <w:szCs w:val="24"/>
                <w:highlight w:val="none"/>
                <w:lang w:eastAsia="en-US"/>
              </w:rPr>
              <w:t xml:space="preserve">东经：119 .95627°</w:t>
            </w:r>
            <w:r>
              <w:rPr>
                <w:rFonts w:ascii="宋体" w:hAnsi="宋体" w:eastAsia="宋体" w:cs="宋体"/>
                <w:color w:val="000000"/>
                <w:spacing w:val="-15"/>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15"/>
                <w:sz w:val="24"/>
                <w:szCs w:val="24"/>
                <w:highlight w:val="none"/>
                <w:lang w:eastAsia="en-US"/>
              </w:rPr>
              <w:t xml:space="preserve">北纬：31 .7574°</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5"/>
                <w:sz w:val="24"/>
                <w:szCs w:val="24"/>
                <w:highlight w:val="none"/>
                <w:lang w:eastAsia="en-US"/>
              </w:rPr>
              <w:t xml:space="preserve">常州市残疾人综合服务中心8楼平台西侧</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40"/>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红梅街道</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东经：119</w:t>
            </w:r>
            <w:r>
              <w:rPr>
                <w:rFonts w:hint="eastAsia" w:ascii="宋体" w:hAnsi="宋体" w:eastAsia="宋体" w:cs="宋体"/>
                <w:color w:val="000000"/>
                <w:spacing w:val="-86"/>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°59</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′6</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北纬：31</w:t>
            </w:r>
            <w:r>
              <w:rPr>
                <w:rFonts w:hint="eastAsia" w:ascii="宋体" w:hAnsi="宋体" w:eastAsia="宋体" w:cs="宋体"/>
                <w:color w:val="000000"/>
                <w:spacing w:val="-82"/>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°47</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′37</w:t>
            </w:r>
            <w:r>
              <w:rPr>
                <w:rFonts w:hint="eastAsia" w:ascii="宋体" w:hAnsi="宋体" w:eastAsia="宋体" w:cs="宋体"/>
                <w:color w:val="000000"/>
                <w:spacing w:val="-75"/>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eastAsia="en-US"/>
              </w:rPr>
              <w:t xml:space="preserve">常州市天宁区飞龙东路北环新</w:t>
            </w:r>
            <w:r>
              <w:rPr>
                <w:rFonts w:hint="eastAsia" w:ascii="宋体" w:hAnsi="宋体" w:eastAsia="宋体" w:cs="宋体"/>
                <w:color w:val="000000"/>
                <w:spacing w:val="-4"/>
                <w:sz w:val="24"/>
                <w:szCs w:val="24"/>
                <w:highlight w:val="none"/>
                <w:lang w:eastAsia="en-US"/>
              </w:rPr>
              <w:t xml:space="preserve">村</w:t>
            </w:r>
            <w:r>
              <w:rPr>
                <w:rFonts w:hint="eastAsia" w:ascii="宋体" w:hAnsi="宋体" w:eastAsia="宋体" w:cs="宋体"/>
                <w:color w:val="000000"/>
                <w:spacing w:val="-48"/>
                <w:sz w:val="24"/>
                <w:szCs w:val="24"/>
                <w:highlight w:val="none"/>
                <w:lang w:eastAsia="en-US"/>
              </w:rPr>
              <w:t xml:space="preserve"> </w:t>
            </w:r>
            <w:r>
              <w:rPr>
                <w:rFonts w:hint="eastAsia" w:ascii="宋体" w:hAnsi="宋体" w:eastAsia="宋体" w:cs="宋体"/>
                <w:color w:val="000000"/>
                <w:spacing w:val="-4"/>
                <w:sz w:val="24"/>
                <w:szCs w:val="24"/>
                <w:highlight w:val="none"/>
                <w:lang w:eastAsia="en-US"/>
              </w:rPr>
              <w:t xml:space="preserve">46-1</w:t>
            </w:r>
            <w:r>
              <w:rPr>
                <w:rFonts w:hint="eastAsia" w:ascii="宋体" w:hAnsi="宋体" w:eastAsia="宋体" w:cs="宋体"/>
                <w:color w:val="000000"/>
                <w:spacing w:val="-45"/>
                <w:sz w:val="24"/>
                <w:szCs w:val="24"/>
                <w:highlight w:val="none"/>
                <w:lang w:eastAsia="en-US"/>
              </w:rPr>
              <w:t xml:space="preserve"> </w:t>
            </w:r>
            <w:r>
              <w:rPr>
                <w:rFonts w:hint="eastAsia" w:ascii="宋体" w:hAnsi="宋体" w:eastAsia="宋体" w:cs="宋体"/>
                <w:color w:val="000000"/>
                <w:spacing w:val="-4"/>
                <w:sz w:val="24"/>
                <w:szCs w:val="24"/>
                <w:highlight w:val="none"/>
                <w:lang w:eastAsia="en-US"/>
              </w:rPr>
              <w:t xml:space="preserve">号</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38"/>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天宁经济开发</w:t>
            </w:r>
            <w:r>
              <w:rPr>
                <w:rFonts w:hint="eastAsia" w:ascii="宋体" w:hAnsi="宋体" w:eastAsia="宋体" w:cs="宋体"/>
                <w:color w:val="000000"/>
                <w:sz w:val="24"/>
                <w:szCs w:val="24"/>
                <w:highlight w:val="none"/>
                <w:lang w:eastAsia="en-US"/>
              </w:rPr>
              <w:t xml:space="preserve">区</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15"/>
                <w:sz w:val="24"/>
                <w:szCs w:val="24"/>
                <w:highlight w:val="none"/>
                <w:lang w:eastAsia="en-US"/>
              </w:rPr>
              <w:t xml:space="preserve">东经：119</w:t>
            </w:r>
            <w:r>
              <w:rPr>
                <w:rFonts w:hint="eastAsia" w:ascii="宋体" w:hAnsi="宋体" w:eastAsia="宋体" w:cs="宋体"/>
                <w:color w:val="000000"/>
                <w:spacing w:val="-81"/>
                <w:sz w:val="24"/>
                <w:szCs w:val="24"/>
                <w:highlight w:val="none"/>
                <w:lang w:eastAsia="en-US"/>
              </w:rPr>
              <w:t xml:space="preserve"> </w:t>
            </w:r>
            <w:r>
              <w:rPr>
                <w:rFonts w:hint="eastAsia" w:ascii="宋体" w:hAnsi="宋体" w:eastAsia="宋体" w:cs="宋体"/>
                <w:color w:val="000000"/>
                <w:spacing w:val="-15"/>
                <w:sz w:val="24"/>
                <w:szCs w:val="24"/>
                <w:highlight w:val="none"/>
                <w:lang w:eastAsia="en-US"/>
              </w:rPr>
              <w:t xml:space="preserve">°58</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15"/>
                <w:sz w:val="24"/>
                <w:szCs w:val="24"/>
                <w:highlight w:val="none"/>
                <w:lang w:eastAsia="en-US"/>
              </w:rPr>
              <w:t xml:space="preserve">′00</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15"/>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10"/>
                <w:sz w:val="24"/>
                <w:szCs w:val="24"/>
                <w:highlight w:val="none"/>
                <w:lang w:eastAsia="en-US"/>
              </w:rPr>
              <w:t xml:space="preserve">北纬：31</w:t>
            </w:r>
            <w:r>
              <w:rPr>
                <w:rFonts w:hint="eastAsia" w:ascii="宋体" w:hAnsi="宋体" w:eastAsia="宋体" w:cs="宋体"/>
                <w:color w:val="000000"/>
                <w:spacing w:val="-85"/>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°47</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hint="eastAsia" w:ascii="宋体" w:hAnsi="宋体" w:eastAsia="宋体" w:cs="宋体"/>
                <w:color w:val="000000"/>
                <w:spacing w:val="-93"/>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16</w:t>
            </w:r>
            <w:r>
              <w:rPr>
                <w:rFonts w:hint="eastAsia" w:ascii="宋体" w:hAnsi="宋体" w:eastAsia="宋体" w:cs="宋体"/>
                <w:color w:val="000000"/>
                <w:spacing w:val="-75"/>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常州市天宁区北塘河东路</w:t>
            </w:r>
            <w:r>
              <w:rPr>
                <w:rFonts w:hint="eastAsia" w:ascii="宋体" w:hAnsi="宋体" w:eastAsia="宋体" w:cs="宋体"/>
                <w:color w:val="000000"/>
                <w:spacing w:val="-37"/>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5</w:t>
            </w:r>
            <w:r>
              <w:rPr>
                <w:rFonts w:hint="eastAsia" w:ascii="宋体" w:hAnsi="宋体" w:eastAsia="宋体" w:cs="宋体"/>
                <w:color w:val="000000"/>
                <w:spacing w:val="-45"/>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号</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37"/>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eastAsia="en-US"/>
              </w:rPr>
              <w:t xml:space="preserve">青龙街道</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10"/>
                <w:sz w:val="24"/>
                <w:szCs w:val="24"/>
                <w:highlight w:val="none"/>
                <w:lang w:eastAsia="en-US"/>
              </w:rPr>
              <w:t xml:space="preserve">东经：120</w:t>
            </w:r>
            <w:r>
              <w:rPr>
                <w:rFonts w:hint="eastAsia" w:ascii="宋体" w:hAnsi="宋体" w:eastAsia="宋体" w:cs="宋体"/>
                <w:color w:val="000000"/>
                <w:spacing w:val="-90"/>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°0</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hint="eastAsia" w:ascii="宋体" w:hAnsi="宋体" w:eastAsia="宋体" w:cs="宋体"/>
                <w:color w:val="000000"/>
                <w:spacing w:val="-93"/>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14</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北纬：31</w:t>
            </w:r>
            <w:r>
              <w:rPr>
                <w:rFonts w:hint="eastAsia" w:ascii="宋体" w:hAnsi="宋体" w:eastAsia="宋体" w:cs="宋体"/>
                <w:color w:val="000000"/>
                <w:spacing w:val="-90"/>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°48</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常州市天宁区业丰路</w:t>
            </w:r>
            <w:r>
              <w:rPr>
                <w:rFonts w:hint="eastAsia" w:ascii="宋体" w:hAnsi="宋体" w:eastAsia="宋体" w:cs="宋体"/>
                <w:color w:val="000000"/>
                <w:spacing w:val="-43"/>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9</w:t>
            </w:r>
            <w:r>
              <w:rPr>
                <w:rFonts w:hint="eastAsia" w:ascii="宋体" w:hAnsi="宋体" w:eastAsia="宋体" w:cs="宋体"/>
                <w:color w:val="000000"/>
                <w:spacing w:val="-45"/>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号</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38"/>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天宁街道</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东经：120</w:t>
            </w:r>
            <w:r>
              <w:rPr>
                <w:rFonts w:hint="eastAsia" w:ascii="宋体" w:hAnsi="宋体" w:eastAsia="宋体" w:cs="宋体"/>
                <w:color w:val="000000"/>
                <w:spacing w:val="-86"/>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°25</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′52</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北纬：31</w:t>
            </w:r>
            <w:r>
              <w:rPr>
                <w:rFonts w:hint="eastAsia" w:ascii="宋体" w:hAnsi="宋体" w:eastAsia="宋体" w:cs="宋体"/>
                <w:color w:val="000000"/>
                <w:spacing w:val="-82"/>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°48</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′38</w:t>
            </w:r>
            <w:r>
              <w:rPr>
                <w:rFonts w:hint="eastAsia" w:ascii="宋体" w:hAnsi="宋体" w:eastAsia="宋体" w:cs="宋体"/>
                <w:color w:val="000000"/>
                <w:spacing w:val="-75"/>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常州市天宁区晋陵中路</w:t>
            </w:r>
            <w:r>
              <w:rPr>
                <w:rFonts w:hint="eastAsia" w:ascii="宋体" w:hAnsi="宋体" w:eastAsia="宋体" w:cs="宋体"/>
                <w:color w:val="000000"/>
                <w:spacing w:val="-34"/>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511</w:t>
            </w:r>
            <w:r>
              <w:rPr>
                <w:rFonts w:hint="eastAsia" w:ascii="宋体" w:hAnsi="宋体" w:eastAsia="宋体" w:cs="宋体"/>
                <w:color w:val="000000"/>
                <w:spacing w:val="-45"/>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号</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37"/>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郑陆镇</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9"/>
                <w:sz w:val="24"/>
                <w:szCs w:val="24"/>
                <w:highlight w:val="none"/>
                <w:lang w:eastAsia="en-US"/>
              </w:rPr>
              <w:t xml:space="preserve">东经：120</w:t>
            </w:r>
            <w:r>
              <w:rPr>
                <w:rFonts w:hint="eastAsia" w:ascii="宋体" w:hAnsi="宋体" w:eastAsia="宋体" w:cs="宋体"/>
                <w:color w:val="000000"/>
                <w:spacing w:val="-83"/>
                <w:sz w:val="24"/>
                <w:szCs w:val="24"/>
                <w:highlight w:val="none"/>
                <w:lang w:eastAsia="en-US"/>
              </w:rPr>
              <w:t xml:space="preserve"> </w:t>
            </w:r>
            <w:r>
              <w:rPr>
                <w:rFonts w:hint="eastAsia" w:ascii="宋体" w:hAnsi="宋体" w:eastAsia="宋体" w:cs="宋体"/>
                <w:color w:val="000000"/>
                <w:spacing w:val="-9"/>
                <w:sz w:val="24"/>
                <w:szCs w:val="24"/>
                <w:highlight w:val="none"/>
                <w:lang w:eastAsia="en-US"/>
              </w:rPr>
              <w:t xml:space="preserve">°5</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9"/>
                <w:sz w:val="24"/>
                <w:szCs w:val="24"/>
                <w:highlight w:val="none"/>
                <w:lang w:eastAsia="en-US"/>
              </w:rPr>
              <w:t xml:space="preserve">′7</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9"/>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北纬：31</w:t>
            </w:r>
            <w:r>
              <w:rPr>
                <w:rFonts w:hint="eastAsia" w:ascii="宋体" w:hAnsi="宋体" w:eastAsia="宋体" w:cs="宋体"/>
                <w:color w:val="000000"/>
                <w:spacing w:val="-82"/>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°49</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′26</w:t>
            </w:r>
            <w:r>
              <w:rPr>
                <w:rFonts w:hint="eastAsia" w:ascii="宋体" w:hAnsi="宋体" w:eastAsia="宋体" w:cs="宋体"/>
                <w:color w:val="000000"/>
                <w:spacing w:val="-75"/>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eastAsia="en-US"/>
              </w:rPr>
              <w:t xml:space="preserve">郑陆镇季子公园旁</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r>
        <w:trPr>
          <w:trHeight w:val="945"/>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w:t>
            </w:r>
            <w:r>
              <w:rPr>
                <w:rFonts w:ascii="宋体" w:hAnsi="宋体" w:eastAsia="宋体" w:cs="宋体"/>
                <w:color w:val="000000"/>
                <w:sz w:val="24"/>
                <w:szCs w:val="24"/>
                <w:highlight w:val="none"/>
                <w:lang w:eastAsia="en-US"/>
              </w:rPr>
            </w:r>
            <w:r/>
          </w:p>
        </w:tc>
        <w:tc>
          <w:tcPr>
            <w:tcW w:w="999"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2"/>
                <w:sz w:val="24"/>
                <w:szCs w:val="24"/>
                <w:highlight w:val="none"/>
                <w:lang w:eastAsia="en-US"/>
              </w:rPr>
              <w:t xml:space="preserve">雕庄镇</w:t>
            </w:r>
            <w:r>
              <w:rPr>
                <w:rFonts w:ascii="宋体" w:hAnsi="宋体" w:eastAsia="宋体" w:cs="宋体"/>
                <w:color w:val="000000"/>
                <w:sz w:val="24"/>
                <w:szCs w:val="24"/>
                <w:highlight w:val="none"/>
                <w:lang w:eastAsia="en-US"/>
              </w:rPr>
            </w:r>
            <w:r/>
          </w:p>
        </w:tc>
        <w:tc>
          <w:tcPr>
            <w:tcW w:w="124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10"/>
                <w:sz w:val="24"/>
                <w:szCs w:val="24"/>
                <w:highlight w:val="none"/>
                <w:lang w:eastAsia="en-US"/>
              </w:rPr>
              <w:t xml:space="preserve">东经：120</w:t>
            </w:r>
            <w:r>
              <w:rPr>
                <w:rFonts w:hint="eastAsia" w:ascii="宋体" w:hAnsi="宋体" w:eastAsia="宋体" w:cs="宋体"/>
                <w:color w:val="000000"/>
                <w:spacing w:val="-90"/>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hint="eastAsia" w:ascii="宋体" w:hAnsi="宋体" w:eastAsia="宋体" w:cs="宋体"/>
                <w:color w:val="000000"/>
                <w:spacing w:val="-92"/>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1</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′22</w:t>
            </w:r>
            <w:r>
              <w:rPr>
                <w:rFonts w:hint="eastAsia" w:ascii="宋体" w:hAnsi="宋体" w:eastAsia="宋体" w:cs="宋体"/>
                <w:color w:val="000000"/>
                <w:spacing w:val="-76"/>
                <w:sz w:val="24"/>
                <w:szCs w:val="24"/>
                <w:highlight w:val="none"/>
                <w:lang w:eastAsia="en-US"/>
              </w:rPr>
              <w:t xml:space="preserve"> </w:t>
            </w:r>
            <w:r>
              <w:rPr>
                <w:rFonts w:hint="eastAsia" w:ascii="宋体" w:hAnsi="宋体" w:eastAsia="宋体" w:cs="宋体"/>
                <w:color w:val="000000"/>
                <w:spacing w:val="-10"/>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北纬：31</w:t>
            </w:r>
            <w:r>
              <w:rPr>
                <w:rFonts w:hint="eastAsia" w:ascii="宋体" w:hAnsi="宋体" w:eastAsia="宋体" w:cs="宋体"/>
                <w:color w:val="000000"/>
                <w:spacing w:val="-82"/>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°44</w:t>
            </w:r>
            <w:r>
              <w:rPr>
                <w:rFonts w:hint="eastAsia" w:ascii="宋体" w:hAnsi="宋体" w:eastAsia="宋体" w:cs="宋体"/>
                <w:color w:val="000000"/>
                <w:spacing w:val="-77"/>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′36</w:t>
            </w:r>
            <w:r>
              <w:rPr>
                <w:rFonts w:hint="eastAsia" w:ascii="宋体" w:hAnsi="宋体" w:eastAsia="宋体" w:cs="宋体"/>
                <w:color w:val="000000"/>
                <w:spacing w:val="-75"/>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w:t>
            </w:r>
            <w:r>
              <w:rPr>
                <w:rFonts w:ascii="宋体" w:hAnsi="宋体" w:eastAsia="宋体" w:cs="宋体"/>
                <w:color w:val="000000"/>
                <w:sz w:val="24"/>
                <w:szCs w:val="24"/>
                <w:highlight w:val="none"/>
                <w:lang w:eastAsia="en-US"/>
              </w:rPr>
            </w:r>
            <w:r/>
          </w:p>
        </w:tc>
        <w:tc>
          <w:tcPr>
            <w:tcW w:w="191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天宁区中吴大道</w:t>
            </w:r>
            <w:r>
              <w:rPr>
                <w:rFonts w:hint="eastAsia" w:ascii="宋体" w:hAnsi="宋体" w:eastAsia="宋体" w:cs="宋体"/>
                <w:color w:val="000000"/>
                <w:spacing w:val="-42"/>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700</w:t>
            </w:r>
            <w:r>
              <w:rPr>
                <w:rFonts w:hint="eastAsia" w:ascii="宋体" w:hAnsi="宋体" w:eastAsia="宋体" w:cs="宋体"/>
                <w:color w:val="000000"/>
                <w:spacing w:val="-45"/>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号</w:t>
            </w:r>
            <w:r>
              <w:rPr>
                <w:rFonts w:ascii="宋体" w:hAnsi="宋体" w:eastAsia="宋体" w:cs="宋体"/>
                <w:color w:val="000000"/>
                <w:sz w:val="24"/>
                <w:szCs w:val="24"/>
                <w:highlight w:val="none"/>
                <w:lang w:eastAsia="en-US"/>
              </w:rPr>
            </w:r>
            <w:r/>
          </w:p>
        </w:tc>
        <w:tc>
          <w:tcPr>
            <w:tcW w:w="413" w:type="dxa"/>
            <w:vAlign w:val="top"/>
            <w:textDirection w:val="lrTb"/>
            <w:noWrap w:val="false"/>
          </w:tcPr>
          <w:p>
            <w:pPr>
              <w:pStyle w:val="1094"/>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r>
    </w:tbl>
    <w:p>
      <w:pPr>
        <w:pStyle w:val="1094"/>
        <w:rPr>
          <w:rFonts w:ascii="Times New Roman" w:hAnsi="Times New Roman" w:eastAsia="宋体"/>
          <w:color w:val="000000"/>
          <w:szCs w:val="24"/>
          <w:highlight w:val="none"/>
        </w:rPr>
        <w:sectPr>
          <w:footerReference w:type="default" r:id="rId18"/>
          <w:footnotePr/>
          <w:endnotePr/>
          <w:type w:val="nextPage"/>
          <w:pgSz w:w="11907" w:h="16838" w:orient="portrait"/>
          <w:pgMar w:top="1417" w:right="1134" w:bottom="1417" w:left="1361" w:header="850" w:footer="850" w:gutter="0"/>
          <w:cols w:num="1" w:sep="0" w:space="1701" w:equalWidth="1"/>
          <w:docGrid w:linePitch="360"/>
          <w:titlePg/>
        </w:sectPr>
      </w:pPr>
      <w:r>
        <w:rPr>
          <w:rFonts w:ascii="Times New Roman" w:hAnsi="Times New Roman" w:eastAsia="宋体"/>
          <w:color w:val="000000"/>
          <w:szCs w:val="24"/>
          <w:highlight w:val="none"/>
        </w:rPr>
      </w:r>
      <w:r/>
    </w:p>
    <w:p>
      <w:pPr>
        <w:pStyle w:val="1094"/>
        <w:jc w:val="center"/>
        <w:spacing w:before="78" w:line="220" w:lineRule="auto"/>
        <w:rPr>
          <w:rFonts w:ascii="宋体" w:hAnsi="宋体" w:eastAsia="宋体" w:cs="宋体"/>
          <w:color w:val="000000"/>
          <w:sz w:val="24"/>
          <w:szCs w:val="24"/>
          <w:highlight w:val="none"/>
        </w:rPr>
      </w:pPr>
      <w:r>
        <w:rPr>
          <w:rFonts w:ascii="宋体" w:hAnsi="宋体" w:eastAsia="宋体" w:cs="宋体"/>
          <w:b/>
          <w:bCs/>
          <w:color w:val="000000"/>
          <w:spacing w:val="-4"/>
          <w:sz w:val="24"/>
          <w:szCs w:val="24"/>
          <w:highlight w:val="none"/>
        </w:rPr>
        <w:t xml:space="preserve">表</w:t>
      </w:r>
      <w:r>
        <w:rPr>
          <w:rFonts w:ascii="宋体" w:hAnsi="宋体" w:eastAsia="宋体" w:cs="宋体"/>
          <w:color w:val="000000"/>
          <w:spacing w:val="-32"/>
          <w:sz w:val="24"/>
          <w:szCs w:val="24"/>
          <w:highlight w:val="none"/>
        </w:rPr>
        <w:t xml:space="preserve"> </w:t>
      </w:r>
      <w:r>
        <w:rPr>
          <w:rFonts w:ascii="宋体" w:hAnsi="宋体" w:eastAsia="宋体" w:cs="宋体"/>
          <w:b/>
          <w:bCs/>
          <w:color w:val="000000"/>
          <w:spacing w:val="-4"/>
          <w:sz w:val="24"/>
          <w:szCs w:val="24"/>
          <w:highlight w:val="none"/>
        </w:rPr>
        <w:t xml:space="preserve">2</w:t>
      </w:r>
      <w:r>
        <w:rPr>
          <w:rFonts w:ascii="宋体" w:hAnsi="宋体" w:eastAsia="宋体" w:cs="宋体"/>
          <w:color w:val="000000"/>
          <w:spacing w:val="-4"/>
          <w:sz w:val="24"/>
          <w:szCs w:val="24"/>
          <w:highlight w:val="none"/>
        </w:rPr>
        <w:t xml:space="preserve"> </w:t>
      </w:r>
      <w:r>
        <w:rPr>
          <w:rFonts w:ascii="宋体" w:hAnsi="宋体" w:eastAsia="宋体" w:cs="宋体"/>
          <w:b/>
          <w:bCs/>
          <w:color w:val="000000"/>
          <w:spacing w:val="-4"/>
          <w:sz w:val="24"/>
          <w:szCs w:val="24"/>
          <w:highlight w:val="none"/>
        </w:rPr>
        <w:t xml:space="preserve">空气自动监测系统主要设备</w:t>
      </w:r>
      <w:r>
        <w:rPr>
          <w:rFonts w:ascii="宋体" w:hAnsi="宋体" w:eastAsia="宋体" w:cs="宋体"/>
          <w:color w:val="000000"/>
          <w:sz w:val="24"/>
          <w:szCs w:val="24"/>
          <w:highlight w:val="none"/>
        </w:rPr>
      </w:r>
      <w:r/>
    </w:p>
    <w:p>
      <w:pPr>
        <w:pStyle w:val="1094"/>
        <w:spacing w:line="145" w:lineRule="exact"/>
        <w:rPr>
          <w:rFonts w:ascii="Times New Roman" w:hAnsi="Times New Roman" w:eastAsia="宋体"/>
          <w:color w:val="000000"/>
          <w:szCs w:val="24"/>
          <w:highlight w:val="none"/>
        </w:rPr>
      </w:pPr>
      <w:r>
        <w:rPr>
          <w:rFonts w:ascii="Times New Roman" w:hAnsi="Times New Roman" w:eastAsia="宋体"/>
          <w:color w:val="000000"/>
          <w:szCs w:val="24"/>
          <w:highlight w:val="none"/>
        </w:rPr>
      </w:r>
      <w:r/>
    </w:p>
    <w:tbl>
      <w:tblP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8"/>
        <w:gridCol w:w="1323"/>
        <w:gridCol w:w="1696"/>
        <w:gridCol w:w="712"/>
        <w:gridCol w:w="2414"/>
        <w:gridCol w:w="1426"/>
      </w:tblGrid>
      <w:tr>
        <w:trPr>
          <w:trHeight w:val="477"/>
        </w:trPr>
        <w:tc>
          <w:tcPr>
            <w:tcW w:w="444"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序号</w:t>
            </w:r>
            <w:r>
              <w:rPr>
                <w:rFonts w:ascii="宋体" w:hAnsi="宋体" w:eastAsia="宋体" w:cs="宋体"/>
                <w:b/>
                <w:bCs/>
                <w:color w:val="000000"/>
                <w:sz w:val="24"/>
                <w:szCs w:val="24"/>
                <w:highlight w:val="none"/>
                <w:lang w:eastAsia="en-US"/>
              </w:rPr>
            </w:r>
            <w:r/>
          </w:p>
        </w:tc>
        <w:tc>
          <w:tcPr>
            <w:tcW w:w="796"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站点名称</w:t>
            </w:r>
            <w:r>
              <w:rPr>
                <w:rFonts w:ascii="宋体" w:hAnsi="宋体" w:eastAsia="宋体" w:cs="宋体"/>
                <w:b/>
                <w:bCs/>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设备名称</w:t>
            </w:r>
            <w:r>
              <w:rPr>
                <w:rFonts w:ascii="宋体" w:hAnsi="宋体" w:eastAsia="宋体" w:cs="宋体"/>
                <w:b/>
                <w:bCs/>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数量</w:t>
            </w:r>
            <w:r>
              <w:rPr>
                <w:rFonts w:ascii="宋体" w:hAnsi="宋体" w:eastAsia="宋体" w:cs="宋体"/>
                <w:b/>
                <w:bCs/>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品牌</w:t>
            </w:r>
            <w:r>
              <w:rPr>
                <w:rFonts w:ascii="宋体" w:hAnsi="宋体" w:eastAsia="宋体" w:cs="宋体"/>
                <w:b/>
                <w:bCs/>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eastAsia="en-US"/>
              </w:rPr>
              <w:t xml:space="preserve">型号</w:t>
            </w:r>
            <w:r>
              <w:rPr>
                <w:rFonts w:ascii="宋体" w:hAnsi="宋体" w:eastAsia="宋体" w:cs="宋体"/>
                <w:b/>
                <w:bCs/>
                <w:color w:val="000000"/>
                <w:sz w:val="24"/>
                <w:szCs w:val="24"/>
                <w:highlight w:val="none"/>
                <w:lang w:eastAsia="en-US"/>
              </w:rPr>
            </w:r>
            <w:r/>
          </w:p>
        </w:tc>
      </w:tr>
      <w:tr>
        <w:trPr>
          <w:trHeight w:val="472"/>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兰陵街道</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O3</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49i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NOx</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SO2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bookmarkStart w:id="608" w:name="OLE_LINK5"/>
            <w:r/>
            <w:bookmarkStart w:id="609" w:name="OLE_LINK4"/>
            <w:r/>
            <w:bookmarkStart w:id="610" w:name="_Hlk210048005"/>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气象五参数</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深圳智翔宇</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WS-5P</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bookmarkEnd w:id="608"/>
            <w:r/>
            <w:bookmarkEnd w:id="609"/>
            <w:r/>
            <w:bookmarkEnd w:id="610"/>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3"/>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红梅街道</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O3</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49i</w:t>
            </w:r>
            <w:r>
              <w:rPr>
                <w:rFonts w:ascii="宋体" w:hAnsi="宋体" w:eastAsia="宋体" w:cs="宋体"/>
                <w:color w:val="000000"/>
                <w:sz w:val="24"/>
                <w:szCs w:val="24"/>
                <w:highlight w:val="none"/>
                <w:lang w:eastAsia="en-US"/>
              </w:rPr>
            </w:r>
            <w:r/>
          </w:p>
        </w:tc>
      </w:tr>
      <w:tr>
        <w:trPr>
          <w:trHeight w:val="471"/>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NOx</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SO2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气象五参数</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深圳智翔宇</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WS-5P</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1"/>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天宁经济开 发区</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O3</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49i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PM10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NOx</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SO2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气象五参数</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深圳智翔宇</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WS-5P</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7"/>
        </w:trPr>
        <w:tc>
          <w:tcPr>
            <w:tcW w:w="444"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8"/>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4</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青龙街道</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PM</w:t>
            </w:r>
            <w:r>
              <w:rPr>
                <w:rFonts w:ascii="宋体" w:hAnsi="宋体" w:eastAsia="宋体" w:cs="宋体"/>
                <w:color w:val="000000"/>
                <w:spacing w:val="-2"/>
                <w:position w:val="-1"/>
                <w:sz w:val="24"/>
                <w:szCs w:val="24"/>
                <w:highlight w:val="none"/>
                <w:lang w:eastAsia="en-US"/>
              </w:rPr>
              <w:t xml:space="preserve">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5014i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O</w:t>
            </w:r>
            <w:r>
              <w:rPr>
                <w:rFonts w:ascii="宋体" w:hAnsi="宋体" w:eastAsia="宋体" w:cs="宋体"/>
                <w:color w:val="000000"/>
                <w:spacing w:val="-5"/>
                <w:position w:val="-1"/>
                <w:sz w:val="24"/>
                <w:szCs w:val="24"/>
                <w:highlight w:val="none"/>
                <w:lang w:eastAsia="en-US"/>
              </w:rPr>
              <w:t xml:space="preserve">3</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49i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PM</w:t>
            </w:r>
            <w:r>
              <w:rPr>
                <w:rFonts w:ascii="宋体" w:hAnsi="宋体" w:eastAsia="宋体" w:cs="宋体"/>
                <w:color w:val="000000"/>
                <w:spacing w:val="-5"/>
                <w:position w:val="-1"/>
                <w:sz w:val="24"/>
                <w:szCs w:val="24"/>
                <w:highlight w:val="none"/>
                <w:lang w:eastAsia="en-US"/>
              </w:rPr>
              <w:t xml:space="preserve">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5014i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NO</w:t>
            </w:r>
            <w:r>
              <w:rPr>
                <w:rFonts w:ascii="宋体" w:hAnsi="宋体" w:eastAsia="宋体" w:cs="宋体"/>
                <w:color w:val="000000"/>
                <w:spacing w:val="-4"/>
                <w:position w:val="-1"/>
                <w:sz w:val="24"/>
                <w:szCs w:val="24"/>
                <w:highlight w:val="none"/>
                <w:lang w:eastAsia="en-US"/>
              </w:rPr>
              <w:t xml:space="preserve">x</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42i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9"/>
                <w:sz w:val="24"/>
                <w:szCs w:val="24"/>
                <w:highlight w:val="none"/>
                <w:lang w:eastAsia="en-US"/>
              </w:rPr>
              <w:t xml:space="preserve">SO</w:t>
            </w:r>
            <w:r>
              <w:rPr>
                <w:rFonts w:ascii="宋体" w:hAnsi="宋体" w:eastAsia="宋体" w:cs="宋体"/>
                <w:color w:val="000000"/>
                <w:position w:val="-1"/>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气象五参数</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13"/>
                <w:sz w:val="24"/>
                <w:szCs w:val="24"/>
                <w:highlight w:val="none"/>
                <w:lang w:eastAsia="en-US"/>
              </w:rPr>
              <w:t xml:space="preserve">北京富奥通</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FWS500</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3"/>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5</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天宁街道</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PM</w:t>
            </w:r>
            <w:r>
              <w:rPr>
                <w:rFonts w:ascii="宋体" w:hAnsi="宋体" w:eastAsia="宋体" w:cs="宋体"/>
                <w:color w:val="000000"/>
                <w:spacing w:val="-2"/>
                <w:position w:val="-1"/>
                <w:sz w:val="24"/>
                <w:szCs w:val="24"/>
                <w:highlight w:val="none"/>
                <w:lang w:eastAsia="en-US"/>
              </w:rPr>
              <w:t xml:space="preserve">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O</w:t>
            </w:r>
            <w:r>
              <w:rPr>
                <w:rFonts w:ascii="宋体" w:hAnsi="宋体" w:eastAsia="宋体" w:cs="宋体"/>
                <w:color w:val="000000"/>
                <w:spacing w:val="-5"/>
                <w:position w:val="-1"/>
                <w:sz w:val="24"/>
                <w:szCs w:val="24"/>
                <w:highlight w:val="none"/>
                <w:lang w:eastAsia="en-US"/>
              </w:rPr>
              <w:t xml:space="preserve">3</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49i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PM</w:t>
            </w:r>
            <w:r>
              <w:rPr>
                <w:rFonts w:ascii="宋体" w:hAnsi="宋体" w:eastAsia="宋体" w:cs="宋体"/>
                <w:color w:val="000000"/>
                <w:spacing w:val="-5"/>
                <w:position w:val="-1"/>
                <w:sz w:val="24"/>
                <w:szCs w:val="24"/>
                <w:highlight w:val="none"/>
                <w:lang w:eastAsia="en-US"/>
              </w:rPr>
              <w:t xml:space="preserve">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NO</w:t>
            </w:r>
            <w:r>
              <w:rPr>
                <w:rFonts w:ascii="宋体" w:hAnsi="宋体" w:eastAsia="宋体" w:cs="宋体"/>
                <w:color w:val="000000"/>
                <w:spacing w:val="-4"/>
                <w:position w:val="-1"/>
                <w:sz w:val="24"/>
                <w:szCs w:val="24"/>
                <w:highlight w:val="none"/>
                <w:lang w:eastAsia="en-US"/>
              </w:rPr>
              <w:t xml:space="preserve">x</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42i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9"/>
                <w:sz w:val="24"/>
                <w:szCs w:val="24"/>
                <w:highlight w:val="none"/>
                <w:lang w:eastAsia="en-US"/>
              </w:rPr>
              <w:t xml:space="preserve">SO</w:t>
            </w:r>
            <w:r>
              <w:rPr>
                <w:rFonts w:ascii="宋体" w:hAnsi="宋体" w:eastAsia="宋体" w:cs="宋体"/>
                <w:color w:val="000000"/>
                <w:position w:val="-1"/>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气象五参数</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12"/>
                <w:sz w:val="24"/>
                <w:szCs w:val="24"/>
                <w:highlight w:val="none"/>
                <w:lang w:eastAsia="en-US"/>
              </w:rPr>
              <w:t xml:space="preserve">深圳智翔宇</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WS-5P</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8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2"/>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6</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郑陆镇</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PM</w:t>
            </w:r>
            <w:r>
              <w:rPr>
                <w:rFonts w:ascii="宋体" w:hAnsi="宋体" w:eastAsia="宋体" w:cs="宋体"/>
                <w:color w:val="000000"/>
                <w:spacing w:val="-5"/>
                <w:position w:val="-1"/>
                <w:sz w:val="24"/>
                <w:szCs w:val="24"/>
                <w:highlight w:val="none"/>
                <w:lang w:eastAsia="en-US"/>
              </w:rPr>
              <w:t xml:space="preserve">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0"/>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9"/>
                <w:sz w:val="24"/>
                <w:szCs w:val="24"/>
                <w:highlight w:val="none"/>
                <w:lang w:eastAsia="en-US"/>
              </w:rPr>
              <w:t xml:space="preserve">SO</w:t>
            </w:r>
            <w:r>
              <w:rPr>
                <w:rFonts w:ascii="宋体" w:hAnsi="宋体" w:eastAsia="宋体" w:cs="宋体"/>
                <w:color w:val="000000"/>
                <w:position w:val="-1"/>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111</w:t>
            </w:r>
            <w:r>
              <w:rPr>
                <w:rFonts w:ascii="宋体" w:hAnsi="宋体" w:eastAsia="宋体" w:cs="宋体"/>
                <w:color w:val="000000"/>
                <w:sz w:val="24"/>
                <w:szCs w:val="24"/>
                <w:highlight w:val="none"/>
                <w:lang w:eastAsia="en-US"/>
              </w:rPr>
            </w:r>
            <w:r/>
          </w:p>
        </w:tc>
      </w:tr>
      <w:tr>
        <w:trPr>
          <w:trHeight w:val="470"/>
        </w:trPr>
        <w:tc>
          <w:tcPr>
            <w:tcW w:w="444"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7</w:t>
            </w:r>
            <w:r>
              <w:rPr>
                <w:rFonts w:ascii="宋体" w:hAnsi="宋体" w:eastAsia="宋体" w:cs="宋体"/>
                <w:color w:val="000000"/>
                <w:sz w:val="24"/>
                <w:szCs w:val="24"/>
                <w:highlight w:val="none"/>
                <w:lang w:eastAsia="en-US"/>
              </w:rPr>
            </w:r>
            <w:r/>
          </w:p>
        </w:tc>
        <w:tc>
          <w:tcPr>
            <w:tcW w:w="796" w:type="dxa"/>
            <w:vAlign w:val="center"/>
            <w:vMerge w:val="restart"/>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雕庄镇</w:t>
            </w:r>
            <w:r>
              <w:rPr>
                <w:rFonts w:ascii="宋体" w:hAnsi="宋体" w:eastAsia="宋体" w:cs="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PM</w:t>
            </w:r>
            <w:r>
              <w:rPr>
                <w:rFonts w:ascii="宋体" w:hAnsi="宋体" w:eastAsia="宋体" w:cs="宋体"/>
                <w:color w:val="000000"/>
                <w:spacing w:val="-2"/>
                <w:position w:val="-1"/>
                <w:sz w:val="24"/>
                <w:szCs w:val="24"/>
                <w:highlight w:val="none"/>
                <w:lang w:eastAsia="en-US"/>
              </w:rPr>
              <w:t xml:space="preserve">2.5</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3"/>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5"/>
                <w:sz w:val="24"/>
                <w:szCs w:val="24"/>
                <w:highlight w:val="none"/>
                <w:lang w:eastAsia="en-US"/>
              </w:rPr>
              <w:t xml:space="preserve">PM</w:t>
            </w:r>
            <w:r>
              <w:rPr>
                <w:rFonts w:ascii="宋体" w:hAnsi="宋体" w:eastAsia="宋体" w:cs="宋体"/>
                <w:color w:val="000000"/>
                <w:spacing w:val="-5"/>
                <w:position w:val="-1"/>
                <w:sz w:val="24"/>
                <w:szCs w:val="24"/>
                <w:highlight w:val="none"/>
                <w:lang w:eastAsia="en-US"/>
              </w:rPr>
              <w:t xml:space="preserve">10</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5030i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9"/>
                <w:sz w:val="24"/>
                <w:szCs w:val="24"/>
                <w:highlight w:val="none"/>
                <w:lang w:eastAsia="en-US"/>
              </w:rPr>
              <w:t xml:space="preserve">SO</w:t>
            </w:r>
            <w:r>
              <w:rPr>
                <w:rFonts w:ascii="宋体" w:hAnsi="宋体" w:eastAsia="宋体" w:cs="宋体"/>
                <w:color w:val="000000"/>
                <w:position w:val="-1"/>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43i</w:t>
            </w:r>
            <w:r>
              <w:rPr>
                <w:rFonts w:ascii="宋体" w:hAnsi="宋体" w:eastAsia="宋体" w:cs="宋体"/>
                <w:color w:val="000000"/>
                <w:sz w:val="24"/>
                <w:szCs w:val="24"/>
                <w:highlight w:val="none"/>
                <w:lang w:eastAsia="en-US"/>
              </w:rPr>
            </w:r>
            <w:r/>
          </w:p>
        </w:tc>
      </w:tr>
      <w:tr>
        <w:trPr>
          <w:trHeight w:val="471"/>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4"/>
                <w:sz w:val="24"/>
                <w:szCs w:val="24"/>
                <w:highlight w:val="none"/>
                <w:lang w:eastAsia="en-US"/>
              </w:rPr>
              <w:t xml:space="preserve">CO</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48i</w:t>
            </w:r>
            <w:r>
              <w:rPr>
                <w:rFonts w:ascii="宋体" w:hAnsi="宋体" w:eastAsia="宋体" w:cs="宋体"/>
                <w:color w:val="000000"/>
                <w:sz w:val="24"/>
                <w:szCs w:val="24"/>
                <w:highlight w:val="none"/>
                <w:lang w:eastAsia="en-US"/>
              </w:rPr>
            </w:r>
            <w:r/>
          </w:p>
        </w:tc>
      </w:tr>
      <w:tr>
        <w:trPr>
          <w:trHeight w:val="472"/>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动态校准仪</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6"/>
                <w:sz w:val="24"/>
                <w:szCs w:val="24"/>
                <w:highlight w:val="none"/>
                <w:lang w:eastAsia="en-US"/>
              </w:rPr>
              <w:t xml:space="preserve">146i</w:t>
            </w:r>
            <w:r>
              <w:rPr>
                <w:rFonts w:ascii="宋体" w:hAnsi="宋体" w:eastAsia="宋体" w:cs="宋体"/>
                <w:color w:val="000000"/>
                <w:sz w:val="24"/>
                <w:szCs w:val="24"/>
                <w:highlight w:val="none"/>
                <w:lang w:eastAsia="en-US"/>
              </w:rPr>
            </w:r>
            <w:r/>
          </w:p>
        </w:tc>
      </w:tr>
      <w:tr>
        <w:trPr>
          <w:trHeight w:val="477"/>
        </w:trPr>
        <w:tc>
          <w:tcPr>
            <w:tcW w:w="444"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796" w:type="dxa"/>
            <w:vAlign w:val="center"/>
            <w:vMerge w:val="continue"/>
            <w:textDirection w:val="lrTb"/>
            <w:noWrap w:val="false"/>
          </w:tcPr>
          <w:p>
            <w:pPr>
              <w:pStyle w:val="1094"/>
              <w:jc w:val="center"/>
              <w:rPr>
                <w:rFonts w:ascii="Arial" w:hAnsi="Calibri" w:eastAsia="宋体"/>
                <w:color w:val="000000"/>
                <w:sz w:val="24"/>
                <w:szCs w:val="24"/>
                <w:highlight w:val="none"/>
                <w:lang w:eastAsia="en-US"/>
              </w:rPr>
            </w:pPr>
            <w:r>
              <w:rPr>
                <w:rFonts w:ascii="Arial" w:hAnsi="Calibri" w:eastAsia="宋体"/>
                <w:color w:val="000000"/>
                <w:sz w:val="24"/>
                <w:szCs w:val="24"/>
                <w:highlight w:val="none"/>
                <w:lang w:eastAsia="en-US"/>
              </w:rPr>
            </w:r>
            <w:r/>
          </w:p>
        </w:tc>
        <w:tc>
          <w:tcPr>
            <w:tcW w:w="1020"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零气发生器</w:t>
            </w:r>
            <w:r>
              <w:rPr>
                <w:rFonts w:ascii="宋体" w:hAnsi="宋体" w:eastAsia="宋体" w:cs="宋体"/>
                <w:color w:val="000000"/>
                <w:sz w:val="24"/>
                <w:szCs w:val="24"/>
                <w:highlight w:val="none"/>
                <w:lang w:eastAsia="en-US"/>
              </w:rPr>
            </w:r>
            <w:r/>
          </w:p>
        </w:tc>
        <w:tc>
          <w:tcPr>
            <w:tcW w:w="42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452"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8"/>
                <w:sz w:val="24"/>
                <w:szCs w:val="24"/>
                <w:highlight w:val="none"/>
                <w:lang w:eastAsia="en-US"/>
              </w:rPr>
              <w:t xml:space="preserve">Thermo Fisher</w:t>
            </w:r>
            <w:r>
              <w:rPr>
                <w:rFonts w:ascii="宋体" w:hAnsi="宋体" w:eastAsia="宋体" w:cs="宋体"/>
                <w:color w:val="000000"/>
                <w:sz w:val="24"/>
                <w:szCs w:val="24"/>
                <w:highlight w:val="none"/>
                <w:lang w:eastAsia="en-US"/>
              </w:rPr>
            </w:r>
            <w:r/>
          </w:p>
        </w:tc>
        <w:tc>
          <w:tcPr>
            <w:tcW w:w="858"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111</w:t>
            </w:r>
            <w:r>
              <w:rPr>
                <w:rFonts w:ascii="宋体" w:hAnsi="宋体" w:eastAsia="宋体" w:cs="宋体"/>
                <w:color w:val="000000"/>
                <w:sz w:val="24"/>
                <w:szCs w:val="24"/>
                <w:highlight w:val="none"/>
                <w:lang w:eastAsia="en-US"/>
              </w:rPr>
            </w:r>
            <w:r/>
          </w:p>
        </w:tc>
      </w:tr>
    </w:tbl>
    <w:p>
      <w:pPr>
        <w:pStyle w:val="1094"/>
        <w:ind w:left="329" w:right="327" w:firstLine="240"/>
        <w:spacing w:before="78" w:line="35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、运行维护主要工作内容为仪器设备的日常运行维护、质量控制管理、数据一级审核。根据工作内容，供应商在报价中应包含（但不限于）表3所列各部分工作的费用（在分项报价表中自行列出）。</w:t>
      </w:r>
      <w:r>
        <w:rPr>
          <w:rFonts w:ascii="宋体" w:hAnsi="宋体" w:eastAsia="宋体" w:cs="宋体"/>
          <w:color w:val="000000"/>
          <w:sz w:val="24"/>
          <w:szCs w:val="24"/>
          <w:highlight w:val="none"/>
        </w:rPr>
      </w:r>
      <w:r/>
    </w:p>
    <w:p>
      <w:pPr>
        <w:pStyle w:val="1094"/>
        <w:jc w:val="center"/>
        <w:spacing w:before="35" w:line="218" w:lineRule="auto"/>
        <w:rPr>
          <w:rFonts w:ascii="宋体" w:hAnsi="宋体" w:eastAsia="宋体" w:cs="宋体"/>
          <w:color w:val="000000"/>
          <w:sz w:val="24"/>
          <w:szCs w:val="24"/>
          <w:highlight w:val="none"/>
        </w:rPr>
      </w:pPr>
      <w:r>
        <w:rPr>
          <w:rFonts w:ascii="宋体" w:hAnsi="宋体" w:eastAsia="宋体" w:cs="宋体"/>
          <w:b/>
          <w:bCs/>
          <w:color w:val="000000"/>
          <w:spacing w:val="-4"/>
          <w:sz w:val="24"/>
          <w:szCs w:val="24"/>
          <w:highlight w:val="none"/>
        </w:rPr>
        <w:t xml:space="preserve">表</w:t>
      </w:r>
      <w:r>
        <w:rPr>
          <w:rFonts w:ascii="宋体" w:hAnsi="宋体" w:eastAsia="宋体" w:cs="宋体"/>
          <w:color w:val="000000"/>
          <w:spacing w:val="-42"/>
          <w:sz w:val="24"/>
          <w:szCs w:val="24"/>
          <w:highlight w:val="none"/>
        </w:rPr>
        <w:t xml:space="preserve"> </w:t>
      </w:r>
      <w:r>
        <w:rPr>
          <w:rFonts w:ascii="宋体" w:hAnsi="宋体" w:eastAsia="宋体" w:cs="宋体"/>
          <w:b/>
          <w:bCs/>
          <w:color w:val="000000"/>
          <w:spacing w:val="-4"/>
          <w:sz w:val="24"/>
          <w:szCs w:val="24"/>
          <w:highlight w:val="none"/>
        </w:rPr>
        <w:t xml:space="preserve">3</w:t>
      </w:r>
      <w:r>
        <w:rPr>
          <w:rFonts w:ascii="宋体" w:hAnsi="宋体" w:eastAsia="宋体" w:cs="宋体"/>
          <w:color w:val="000000"/>
          <w:spacing w:val="-4"/>
          <w:sz w:val="24"/>
          <w:szCs w:val="24"/>
          <w:highlight w:val="none"/>
        </w:rPr>
        <w:t xml:space="preserve"> </w:t>
      </w:r>
      <w:r>
        <w:rPr>
          <w:rFonts w:ascii="宋体" w:hAnsi="宋体" w:eastAsia="宋体" w:cs="宋体"/>
          <w:b/>
          <w:bCs/>
          <w:color w:val="000000"/>
          <w:spacing w:val="-4"/>
          <w:sz w:val="24"/>
          <w:szCs w:val="24"/>
          <w:highlight w:val="none"/>
        </w:rPr>
        <w:t xml:space="preserve">报价应含工作费用</w:t>
      </w:r>
      <w:r>
        <w:rPr>
          <w:rFonts w:ascii="宋体" w:hAnsi="宋体" w:eastAsia="宋体" w:cs="宋体"/>
          <w:color w:val="000000"/>
          <w:sz w:val="24"/>
          <w:szCs w:val="24"/>
          <w:highlight w:val="none"/>
        </w:rPr>
      </w:r>
      <w:r/>
    </w:p>
    <w:p>
      <w:pPr>
        <w:pStyle w:val="1094"/>
        <w:spacing w:line="150" w:lineRule="exact"/>
        <w:rPr>
          <w:rFonts w:ascii="Times New Roman" w:hAnsi="Times New Roman" w:eastAsia="宋体"/>
          <w:color w:val="000000"/>
          <w:szCs w:val="24"/>
          <w:highlight w:val="none"/>
        </w:rPr>
      </w:pPr>
      <w:r>
        <w:rPr>
          <w:rFonts w:ascii="Times New Roman" w:hAnsi="Times New Roman" w:eastAsia="宋体"/>
          <w:color w:val="000000"/>
          <w:szCs w:val="24"/>
          <w:highlight w:val="none"/>
        </w:rPr>
      </w:r>
      <w:r/>
    </w:p>
    <w:tbl>
      <w:tblPr>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06"/>
        <w:gridCol w:w="2016"/>
        <w:gridCol w:w="5598"/>
      </w:tblGrid>
      <w:tr>
        <w:trPr>
          <w:trHeight w:val="478"/>
        </w:trPr>
        <w:tc>
          <w:tcPr>
            <w:tcW w:w="424"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ascii="宋体" w:hAnsi="宋体" w:eastAsia="宋体" w:cs="宋体"/>
                <w:b/>
                <w:bCs/>
                <w:color w:val="000000"/>
                <w:spacing w:val="-3"/>
                <w:sz w:val="24"/>
                <w:szCs w:val="24"/>
                <w:highlight w:val="none"/>
                <w:lang w:eastAsia="en-US"/>
              </w:rPr>
              <w:t xml:space="preserve">序号</w:t>
            </w:r>
            <w:r>
              <w:rPr>
                <w:rFonts w:ascii="宋体" w:hAnsi="宋体" w:eastAsia="宋体" w:cs="宋体"/>
                <w:b/>
                <w:bCs/>
                <w:color w:val="000000"/>
                <w:sz w:val="24"/>
                <w:szCs w:val="24"/>
                <w:highlight w:val="none"/>
                <w:lang w:eastAsia="en-US"/>
              </w:rPr>
            </w:r>
            <w:r/>
          </w:p>
        </w:tc>
        <w:tc>
          <w:tcPr>
            <w:tcW w:w="1211"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ascii="宋体" w:hAnsi="宋体" w:eastAsia="宋体" w:cs="宋体"/>
                <w:b/>
                <w:bCs/>
                <w:color w:val="000000"/>
                <w:spacing w:val="-2"/>
                <w:sz w:val="24"/>
                <w:szCs w:val="24"/>
                <w:highlight w:val="none"/>
                <w:lang w:eastAsia="en-US"/>
              </w:rPr>
              <w:t xml:space="preserve">服务项目费用</w:t>
            </w:r>
            <w:r>
              <w:rPr>
                <w:rFonts w:ascii="宋体" w:hAnsi="宋体" w:eastAsia="宋体" w:cs="宋体"/>
                <w:b/>
                <w:bCs/>
                <w:color w:val="000000"/>
                <w:sz w:val="24"/>
                <w:szCs w:val="24"/>
                <w:highlight w:val="none"/>
                <w:lang w:eastAsia="en-US"/>
              </w:rPr>
            </w:r>
            <w:r/>
          </w:p>
        </w:tc>
        <w:tc>
          <w:tcPr>
            <w:tcW w:w="3363" w:type="dxa"/>
            <w:vAlign w:val="center"/>
            <w:textDirection w:val="lrTb"/>
            <w:noWrap w:val="false"/>
          </w:tcPr>
          <w:p>
            <w:pPr>
              <w:pStyle w:val="1094"/>
              <w:jc w:val="center"/>
              <w:rPr>
                <w:rFonts w:ascii="宋体" w:hAnsi="宋体" w:eastAsia="宋体" w:cs="宋体"/>
                <w:b/>
                <w:bCs/>
                <w:color w:val="000000"/>
                <w:sz w:val="24"/>
                <w:szCs w:val="24"/>
                <w:highlight w:val="none"/>
                <w:lang w:eastAsia="en-US"/>
              </w:rPr>
            </w:pPr>
            <w:r>
              <w:rPr>
                <w:rFonts w:ascii="宋体" w:hAnsi="宋体" w:eastAsia="宋体" w:cs="宋体"/>
                <w:b/>
                <w:bCs/>
                <w:color w:val="000000"/>
                <w:spacing w:val="-4"/>
                <w:sz w:val="24"/>
                <w:szCs w:val="24"/>
                <w:highlight w:val="none"/>
                <w:lang w:eastAsia="en-US"/>
              </w:rPr>
              <w:t xml:space="preserve">说明</w:t>
            </w:r>
            <w:r>
              <w:rPr>
                <w:rFonts w:ascii="宋体" w:hAnsi="宋体" w:eastAsia="宋体" w:cs="宋体"/>
                <w:b/>
                <w:bCs/>
                <w:color w:val="000000"/>
                <w:sz w:val="24"/>
                <w:szCs w:val="24"/>
                <w:highlight w:val="none"/>
                <w:lang w:eastAsia="en-US"/>
              </w:rPr>
            </w:r>
            <w:r/>
          </w:p>
        </w:tc>
      </w:tr>
      <w:tr>
        <w:trPr>
          <w:trHeight w:val="468"/>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1</w:t>
            </w:r>
            <w:r>
              <w:rPr>
                <w:rFonts w:ascii="宋体" w:hAnsi="宋体" w:eastAsia="宋体" w:cs="宋体"/>
                <w:color w:val="000000"/>
                <w:sz w:val="24"/>
                <w:szCs w:val="24"/>
                <w:highlight w:val="none"/>
                <w:lang w:eastAsia="en-US"/>
              </w:rPr>
            </w:r>
            <w:r/>
          </w:p>
        </w:tc>
        <w:tc>
          <w:tcPr>
            <w:tcW w:w="1211"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耗材费、备件费</w:t>
            </w:r>
            <w:r>
              <w:rPr>
                <w:rFonts w:ascii="宋体" w:hAnsi="宋体" w:eastAsia="宋体" w:cs="宋体"/>
                <w:color w:val="000000"/>
                <w:sz w:val="24"/>
                <w:szCs w:val="24"/>
                <w:highlight w:val="none"/>
                <w:lang w:eastAsia="en-US"/>
              </w:rPr>
            </w:r>
            <w:r/>
          </w:p>
        </w:tc>
        <w:tc>
          <w:tcPr>
            <w:tcW w:w="3363"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纸带、滤膜、泵管等</w:t>
            </w:r>
            <w:r>
              <w:rPr>
                <w:rFonts w:ascii="宋体" w:hAnsi="宋体" w:eastAsia="宋体" w:cs="宋体"/>
                <w:color w:val="000000"/>
                <w:sz w:val="24"/>
                <w:szCs w:val="24"/>
                <w:highlight w:val="none"/>
                <w:lang w:eastAsia="en-US"/>
              </w:rPr>
            </w:r>
            <w:r/>
          </w:p>
        </w:tc>
      </w:tr>
      <w:tr>
        <w:trPr>
          <w:trHeight w:val="469"/>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2</w:t>
            </w:r>
            <w:r>
              <w:rPr>
                <w:rFonts w:ascii="宋体" w:hAnsi="宋体" w:eastAsia="宋体" w:cs="宋体"/>
                <w:color w:val="000000"/>
                <w:sz w:val="24"/>
                <w:szCs w:val="24"/>
                <w:highlight w:val="none"/>
                <w:lang w:eastAsia="en-US"/>
              </w:rPr>
            </w:r>
            <w:r/>
          </w:p>
        </w:tc>
        <w:tc>
          <w:tcPr>
            <w:tcW w:w="1211"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运行维护费</w:t>
            </w:r>
            <w:r>
              <w:rPr>
                <w:rFonts w:ascii="宋体" w:hAnsi="宋体" w:eastAsia="宋体" w:cs="宋体"/>
                <w:color w:val="000000"/>
                <w:sz w:val="24"/>
                <w:szCs w:val="24"/>
                <w:highlight w:val="none"/>
                <w:lang w:eastAsia="en-US"/>
              </w:rPr>
            </w:r>
            <w:r/>
          </w:p>
        </w:tc>
        <w:tc>
          <w:tcPr>
            <w:tcW w:w="3363"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运行维护过程产生费用（含人工费、差旅费等）</w:t>
            </w:r>
            <w:r>
              <w:rPr>
                <w:rFonts w:ascii="宋体" w:hAnsi="宋体" w:eastAsia="宋体" w:cs="宋体"/>
                <w:color w:val="000000"/>
                <w:sz w:val="24"/>
                <w:szCs w:val="24"/>
                <w:highlight w:val="none"/>
                <w:lang w:eastAsia="en-US"/>
              </w:rPr>
            </w:r>
            <w:r/>
          </w:p>
        </w:tc>
      </w:tr>
      <w:tr>
        <w:trPr>
          <w:trHeight w:val="478"/>
        </w:trPr>
        <w:tc>
          <w:tcPr>
            <w:tcW w:w="424"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t xml:space="preserve">3</w:t>
            </w:r>
            <w:r>
              <w:rPr>
                <w:rFonts w:ascii="宋体" w:hAnsi="宋体" w:eastAsia="宋体" w:cs="宋体"/>
                <w:color w:val="000000"/>
                <w:sz w:val="24"/>
                <w:szCs w:val="24"/>
                <w:highlight w:val="none"/>
                <w:lang w:eastAsia="en-US"/>
              </w:rPr>
            </w:r>
            <w:r/>
          </w:p>
        </w:tc>
        <w:tc>
          <w:tcPr>
            <w:tcW w:w="1211"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2"/>
                <w:sz w:val="24"/>
                <w:szCs w:val="24"/>
                <w:highlight w:val="none"/>
                <w:lang w:eastAsia="en-US"/>
              </w:rPr>
              <w:t xml:space="preserve">质量控制费</w:t>
            </w:r>
            <w:r>
              <w:rPr>
                <w:rFonts w:ascii="宋体" w:hAnsi="宋体" w:eastAsia="宋体" w:cs="宋体"/>
                <w:color w:val="000000"/>
                <w:sz w:val="24"/>
                <w:szCs w:val="24"/>
                <w:highlight w:val="none"/>
                <w:lang w:eastAsia="en-US"/>
              </w:rPr>
            </w:r>
            <w:r/>
          </w:p>
        </w:tc>
        <w:tc>
          <w:tcPr>
            <w:tcW w:w="3363" w:type="dxa"/>
            <w:vAlign w:val="center"/>
            <w:textDirection w:val="lrTb"/>
            <w:noWrap w:val="false"/>
          </w:tcPr>
          <w:p>
            <w:pPr>
              <w:pStyle w:val="1094"/>
              <w:jc w:val="center"/>
              <w:rPr>
                <w:rFonts w:ascii="宋体" w:hAnsi="宋体" w:eastAsia="宋体" w:cs="宋体"/>
                <w:color w:val="000000"/>
                <w:sz w:val="24"/>
                <w:szCs w:val="24"/>
                <w:highlight w:val="none"/>
                <w:lang w:eastAsia="en-US"/>
              </w:rPr>
            </w:pPr>
            <w:r>
              <w:rPr>
                <w:rFonts w:ascii="宋体" w:hAnsi="宋体" w:eastAsia="宋体" w:cs="宋体"/>
                <w:color w:val="000000"/>
                <w:spacing w:val="-3"/>
                <w:sz w:val="24"/>
                <w:szCs w:val="24"/>
                <w:highlight w:val="none"/>
                <w:lang w:eastAsia="en-US"/>
              </w:rPr>
              <w:t xml:space="preserve">质量控制工作产生的费用（含标准物质、质控</w:t>
            </w:r>
            <w:r>
              <w:rPr>
                <w:rFonts w:ascii="宋体" w:hAnsi="宋体" w:eastAsia="宋体" w:cs="宋体"/>
                <w:color w:val="000000"/>
                <w:spacing w:val="-4"/>
                <w:sz w:val="24"/>
                <w:szCs w:val="24"/>
                <w:highlight w:val="none"/>
                <w:lang w:eastAsia="en-US"/>
              </w:rPr>
              <w:t xml:space="preserve">设备等）</w:t>
            </w:r>
            <w:r>
              <w:rPr>
                <w:rFonts w:ascii="宋体" w:hAnsi="宋体" w:eastAsia="宋体" w:cs="宋体"/>
                <w:color w:val="000000"/>
                <w:sz w:val="24"/>
                <w:szCs w:val="24"/>
                <w:highlight w:val="none"/>
                <w:lang w:eastAsia="en-US"/>
              </w:rPr>
            </w:r>
            <w:r/>
          </w:p>
        </w:tc>
      </w:tr>
    </w:tbl>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color w:val="000000"/>
          <w:sz w:val="24"/>
          <w:szCs w:val="24"/>
          <w:highlight w:val="none"/>
        </w:rPr>
        <w:t xml:space="preserve">服务要求（包含但不局限于以下要求）</w:t>
      </w:r>
      <w:r>
        <w:rPr>
          <w:rFonts w:ascii="宋体" w:hAnsi="宋体" w:eastAsia="宋体" w:cs="宋体"/>
          <w:b w:val="0"/>
          <w:bCs/>
          <w:color w:val="000000"/>
          <w:sz w:val="24"/>
          <w:szCs w:val="24"/>
          <w:highlight w:val="none"/>
          <w:lang w:val="en-US" w:eastAsia="zh-CN"/>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1、总体要求</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1.1成交供应商须为本项目在常州市范围内设立固定服务点或办事机构，派驻至少 2 名运维人员，要求大专学历及以上，从事空气自动站运维工作一年以上，具有中国环境监测总站颁发的运维上岗证</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具备</w:t>
      </w:r>
      <w:r>
        <w:rPr>
          <w:rFonts w:hint="eastAsia" w:ascii="宋体" w:hAnsi="宋体" w:eastAsia="宋体" w:cs="宋体"/>
          <w:color w:val="000000"/>
          <w:sz w:val="24"/>
          <w:szCs w:val="24"/>
          <w:highlight w:val="none"/>
          <w:lang w:val="en-US" w:eastAsia="zh-CN"/>
        </w:rPr>
        <w:t xml:space="preserve">空气</w:t>
      </w:r>
      <w:r>
        <w:rPr>
          <w:rFonts w:hint="eastAsia" w:ascii="宋体" w:hAnsi="宋体" w:eastAsia="宋体" w:cs="宋体"/>
          <w:color w:val="000000"/>
          <w:sz w:val="24"/>
          <w:szCs w:val="24"/>
          <w:highlight w:val="none"/>
        </w:rPr>
        <w:t xml:space="preserve">自动</w:t>
      </w:r>
      <w:r>
        <w:rPr>
          <w:rFonts w:hint="eastAsia" w:ascii="宋体" w:hAnsi="宋体" w:cs="宋体"/>
          <w:color w:val="000000"/>
          <w:sz w:val="24"/>
          <w:szCs w:val="24"/>
          <w:highlight w:val="none"/>
          <w:lang w:val="en-US" w:eastAsia="zh-CN"/>
        </w:rPr>
        <w:t xml:space="preserve">监测</w:t>
      </w:r>
      <w:r>
        <w:rPr>
          <w:rFonts w:hint="eastAsia" w:ascii="宋体" w:hAnsi="宋体" w:eastAsia="宋体" w:cs="宋体"/>
          <w:color w:val="000000"/>
          <w:sz w:val="24"/>
          <w:szCs w:val="24"/>
          <w:highlight w:val="none"/>
        </w:rPr>
        <w:t xml:space="preserve">站</w:t>
      </w:r>
      <w:r>
        <w:rPr>
          <w:rFonts w:hint="eastAsia" w:ascii="宋体" w:hAnsi="宋体" w:cs="宋体"/>
          <w:color w:val="000000"/>
          <w:sz w:val="24"/>
          <w:szCs w:val="24"/>
          <w:highlight w:val="none"/>
          <w:lang w:val="en-US" w:eastAsia="zh-CN" w:bidi="ar-SA"/>
        </w:rPr>
        <w:t xml:space="preserve">的现场维护经验，熟悉系统和常规六参数等各类仪器的日常操作，有能力处理系统出现的问题和对监测</w:t>
      </w:r>
      <w:r>
        <w:rPr>
          <w:rFonts w:hint="eastAsia" w:ascii="宋体" w:hAnsi="宋体" w:eastAsia="宋体" w:cs="宋体"/>
          <w:b w:val="0"/>
          <w:bCs w:val="0"/>
          <w:color w:val="000000"/>
          <w:sz w:val="24"/>
          <w:szCs w:val="24"/>
          <w:highlight w:val="none"/>
          <w:lang w:val="en-US" w:eastAsia="zh-CN"/>
        </w:rPr>
        <w:t xml:space="preserve">数据分析的能力</w:t>
      </w:r>
      <w:r>
        <w:rPr>
          <w:rFonts w:hint="eastAsia" w:ascii="宋体" w:hAnsi="宋体" w:eastAsia="宋体" w:cs="宋体"/>
          <w:color w:val="000000"/>
          <w:sz w:val="24"/>
          <w:szCs w:val="24"/>
          <w:highlight w:val="none"/>
        </w:rPr>
        <w:t xml:space="preserve">。实际上岗的运维人员必须与响应文件中的人员信息一致，须在常州市范围内驻场运维。运维人员必须为供应商正式员工，与供应商签订劳动合同并缴纳社会保险。</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不论何时，供应商都应承担监测数据的保密责任，不得以任何方式向外界传递 任何监测数据。</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服务期间，在合同约束范围内供应商拥有管理自主权。委托运行维护及管理的 全部资产（包括建筑物、设备、软件、配套设施和监控系统产生的各类数据信息及相关 文档资料）属采购人所有，供应商不得以任何方式对各类资产进行出售、抵押或转移， 供应商有责任保证上述全部资产的完整、安全并处于良好状态。</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上级发布新的政策规范，工作要求会作相应调整；其他未明确的要求，根据实 际运维工作确定，供应商必须服从安排。</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响应文件中应提供完整的运维实施方案（含应急事故处理方案），明确维护方法、 周期、内容及技术保障。</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响应文件中应提供完整的质量控制管理方案，明确质量控制的方法、周期、内 容及技术保障。</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响应文件中应提供完整的数据审核方案，明确数据审核的方法、技术保障及管 理措施。</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2、运行维护工作要求</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供应商应严格按照《环境空气颗粒物（PM10 和 PM2.5）连续自动监测系统运行和质控技术规范》HJ817-2018、《环境空气气态污染物（SO2、NO2、O3、CO）连续自动监测系统运行和质控技术规范》HJ818-2018、《环境空气质量标准》GB3095-2012、《环境空气颗粒物（PM10 和 PM2.5）连续自动监测系统技术要求及检测方法》HJ653-2021、《环境空气气态污染物（SO2、NO2、O3、CO）连续自动监测系统技术要求及检测方法》HJ654-2013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《国家环境空气质量监测网络城市站运行管理办法》、《江苏省环境空气自动监测质量管理暂行规定》</w:t>
      </w:r>
      <w:r>
        <w:rPr>
          <w:rFonts w:hint="eastAsia" w:ascii="宋体" w:hAnsi="宋体" w:eastAsia="宋体" w:cs="宋体"/>
          <w:color w:val="000000"/>
          <w:sz w:val="24"/>
          <w:szCs w:val="24"/>
          <w:highlight w:val="none"/>
        </w:rPr>
        <w:t xml:space="preserve">等现行有效的国家技术规范开展本项目工作。</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每天远程查看数据采集情况，必要时远程查看数据与仪器运行状态，分析监测 数据，对站点运行情况进行远程诊断和运行管理。每周一次对气象仪器的运行情况进行检查。</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气态监测仪运维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（1）检查监测仪器的运行状况和工作状态参数是否正常。</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（2）检查采样和排气管路是否有漏气或堵塞现象。</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（3）检查仪器数据采集仪和平台数据是否一致。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（4）每周一次检查保护范围内是否正常，有没有对测定结果或运行环境存在明显影响的情况。</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（5）每周一次更换监测仪器的采样颗粒物过滤膜。</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（6）每周一次进行零点及标点检查，根据情况进行校准，并对仪器的状态进行记录。</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（7）每周一次对仪器显示数据和数据采集仪之间的一致性进行检查，并对数据进行备份。</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（8）每季度一次采样管路进行清洗。</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（9）每季度一次进行流量及精密度、准确度检查。</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（10）每季度一次进行多点线性检查。</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（11）半年一次对氮氧化物分析仪钼炉转化率进行检查。</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（12）每年一次更换标气。</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（13）每年一次对所有的仪器进行预防性维护，包括线性、零点漂移、量程漂移、 精密度、准确度检查，按说明书的要求更换备件。</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颗粒物监测仪运维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（1）每日检查监测仪器的运行状况和工作状态参数是否正常。</w:t>
      </w:r>
      <w:r>
        <w:rPr>
          <w:rFonts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（2）每日检查采样和排气管路是否有漏气或堵塞现象。</w:t>
      </w:r>
      <w:r>
        <w:rPr>
          <w:rFonts w:hint="eastAsia"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（3）每日检查仪器数据采集仪与平台数据是否一致。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（4）每周一次详细检查仪器各项参数包括温湿度、流量以及报警状态，纸带剩余情况。</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（5）每月一次对采样切割头进行清洗。</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（6）每月一次对仪器流量进行校准。</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（7）每半年对采样管路进行清洗。</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（8）每年用标准膜进行校准质量。</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（9）每年对泵进行大保养（泵膜更换、碳刷更换）。</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（10）每年一次对所有的仪器进行预防性维护，按说明书的要求更换备件。</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质量控制</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（1）供应商需根据国家及省市有关质量管理和质量控制规范，认真落实质量管理制度，做好质控工作并有相应记录。</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（2）供应商使用的标准物质必须是有证标准物质，并保持与采购人使用的标准物质来源一致，且在有效使用期限内。</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2.6</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运维记录</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采购人要求，认真填写相关运维记录表，确保信息完整、准确、可溯源，记录表包含但不限于：巡检记录表、空气自动监测系统仪器设备维修维护记录表、空气自动监测系统备品备件管理记录表、空气自动监测超级站设备校准记录表、多点线性校准记录表、钼炉转化率记录表、标准物质使用记录表。供应商必须在响应文件中提供各类表格格式，用于体现各项工作的具体内容。</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（2）更换耗材及备件、维修设备等情况，做好相应的记录，确保信息完整。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（3）每月定期向采购人提交运维记录表，记录表上须有运维人员的签名；提交气站运维月度报告，陈述气站的运行状况和事件处理情况。</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（4）各种技术与质量文件应保持现行有效，可根据实际管理需要进行调整。</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（5）各种记录表格可根据实际管理需要进行调整。</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2.7</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数据审核</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（1）供应商应每天至少四次在采购人的数据监控平台上查看监测数据，对异常值进行分析，查明原因。</w:t>
      </w:r>
      <w:r>
        <w:rPr>
          <w:rFonts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（2）供应商每日检查数据是否及时上传至相关环境质量数据平台，发现数据掉线及时恢复。</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（3）供应商按要求完成数据二级审核，对数据的审核内容、审核流程、审核规则，内部数据审核制度和数据复核以及运行服务相关视频、日志、关键参数日常审核等内容进行有效实施和管理。</w:t>
      </w:r>
      <w:r>
        <w:rPr>
          <w:rFonts w:hint="eastAsia"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2.8</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耗材及备件更换</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（1）耗材及备件均有成交供应商提供。</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（2）应根据仪器使用情况，制订耗材的更换周期。主要耗材及备件的更换要求参考表 2，其他耗材及备件根据仪器具体情况确定。所有耗材及备件做到定期更换，确保监测数据准确可靠。</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2.9</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硬件配备</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（1）供应商应配备用于本运维项目所需基本工具和（SO2、NOX、CO、O3、PM2.5、PM10）备机。</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（2）供应商应提供运维质控所必备的手机（安卓系统）、平板（安卓系统）等移动设备以安装相应的质控管理软件。</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2.10 故障处理</w:t>
      </w:r>
      <w:r>
        <w:rPr>
          <w:rFonts w:ascii="宋体" w:hAnsi="宋体" w:eastAsia="宋体" w:cs="宋体"/>
          <w:b/>
          <w:bCs/>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空气自动站数据异常或仪器出现故障时，保证在2小时内到达现场排查，如需使用现场快检设备开展周边环境溯源排查的，排查过程中所需设备由成交供应商负责，排查情况及时反馈采购人。如为仪器设备问题，及时开展维护，如故障无法及时排除，需更换备机的，对故障处理过程应有相应记录。</w:t>
      </w:r>
      <w:r>
        <w:rPr>
          <w:rFonts w:ascii="宋体" w:hAnsi="宋体" w:eastAsia="宋体" w:cs="宋体"/>
          <w:color w:val="000000"/>
          <w:sz w:val="24"/>
          <w:szCs w:val="24"/>
          <w:highlight w:val="none"/>
        </w:rPr>
      </w:r>
      <w:r/>
    </w:p>
    <w:p>
      <w:pPr>
        <w:pStyle w:val="1094"/>
        <w:ind w:firstLine="482"/>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2.11 其他要求</w:t>
      </w:r>
      <w:r>
        <w:rPr>
          <w:rFonts w:ascii="宋体" w:hAnsi="宋体" w:eastAsia="宋体" w:cs="宋体"/>
          <w:b/>
          <w:bCs/>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（1）供应商站房内部环境整洁，布置整齐，仪器设备干净清洁，设备标识清楚，指派专人维护，设备固定牢固，门窗关闭良好，人走关门，非工作人员未经许可不得入内。</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（2）供应商应检查供电、通讯、防雷、消防、安全、空调等情况，保证系统的正常运行，检查站房内温度是否保持在(25±5)℃,相对湿度保持在85%以下。每年对站房、监测设备及电源的防雷检测。</w:t>
      </w:r>
      <w:r>
        <w:rPr>
          <w:rFonts w:hint="eastAsia"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（3）供应商进行维护时，应规范操作，注意安全，防止意外发生。</w:t>
      </w:r>
      <w:r>
        <w:rPr>
          <w:rFonts w:ascii="宋体" w:hAnsi="宋体" w:eastAsia="宋体" w:cs="宋体"/>
          <w:color w:val="000000"/>
          <w:sz w:val="24"/>
          <w:szCs w:val="24"/>
          <w:highlight w:val="none"/>
        </w:rPr>
      </w:r>
      <w:r/>
    </w:p>
    <w:p>
      <w:pPr>
        <w:pStyle w:val="109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3、管理目标</w:t>
      </w:r>
      <w:r>
        <w:rPr>
          <w:rFonts w:hint="eastAsia" w:ascii="宋体" w:hAnsi="宋体" w:eastAsia="宋体" w:cs="宋体"/>
          <w:b/>
          <w:bCs/>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1常规六参数自动监测仪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供应商提供服务期间应保证系统数据二级审核后有效率应达到90%以上（以小时均值计）。污染物数据有效性最低要求</w:t>
      </w:r>
      <w:r>
        <w:rPr>
          <w:rFonts w:hint="eastAsia" w:ascii="宋体" w:hAnsi="宋体" w:cs="宋体"/>
          <w:color w:val="000000"/>
          <w:sz w:val="24"/>
          <w:szCs w:val="24"/>
          <w:highlight w:val="none"/>
          <w:lang w:val="en-US" w:eastAsia="zh-CN"/>
        </w:rPr>
        <w:t xml:space="preserve">如下：</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）SO2、NO2、PM10、PM2.5、NOx</w:t>
      </w:r>
      <w:r>
        <w:rPr>
          <w:rFonts w:hint="eastAsia" w:ascii="宋体" w:hAnsi="宋体" w:eastAsia="宋体" w:cs="宋体"/>
          <w:color w:val="000000"/>
          <w:sz w:val="24"/>
          <w:szCs w:val="24"/>
          <w:highlight w:val="none"/>
          <w:lang w:val="en-US" w:eastAsia="zh-CN"/>
        </w:rPr>
        <w:t xml:space="preserve">等5项因子，每年至少有分布均匀的324个日平均浓度值，每月至少有分布均匀的27个日平均浓度值（二月至少有25个日平均浓度值）</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（2）SO2、NO2、CO、PM10、PM2.5、NOx等6项因子，每日至少有20个小时的平均浓度值或采样时间</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O3</w:t>
      </w:r>
      <w:r>
        <w:rPr>
          <w:rFonts w:hint="eastAsia" w:ascii="宋体" w:hAnsi="宋体" w:eastAsia="宋体" w:cs="宋体"/>
          <w:color w:val="000000"/>
          <w:sz w:val="24"/>
          <w:szCs w:val="24"/>
          <w:highlight w:val="none"/>
          <w:lang w:val="en-US" w:eastAsia="zh-CN"/>
        </w:rPr>
        <w:t xml:space="preserve">等1项因子，每8小时至少有6小时平均浓度值</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109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（4）SO2、NO2、CO、O3、NOx</w:t>
      </w:r>
      <w:r>
        <w:rPr>
          <w:rFonts w:hint="eastAsia" w:ascii="宋体" w:hAnsi="宋体" w:cs="宋体"/>
          <w:color w:val="000000"/>
          <w:sz w:val="24"/>
          <w:szCs w:val="24"/>
          <w:highlight w:val="none"/>
          <w:lang w:val="en-US" w:eastAsia="zh-CN"/>
        </w:rPr>
        <w:t xml:space="preserve">等5项因子，每小时至少有45分钟的采样时间。</w:t>
      </w:r>
      <w:r>
        <w:rPr>
          <w:rFonts w:ascii="宋体" w:hAnsi="宋体" w:eastAsia="宋体" w:cs="宋体"/>
          <w:color w:val="000000"/>
          <w:sz w:val="24"/>
          <w:szCs w:val="24"/>
          <w:highlight w:val="none"/>
          <w:lang w:val="en-US" w:eastAsia="zh-CN"/>
        </w:rPr>
      </w:r>
      <w:r/>
    </w:p>
    <w:p>
      <w:pPr>
        <w:pStyle w:val="1094"/>
        <w:ind w:firstLine="482"/>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、工作考核</w:t>
      </w:r>
      <w:r>
        <w:rPr>
          <w:rFonts w:ascii="宋体" w:hAnsi="宋体" w:eastAsia="宋体" w:cs="宋体"/>
          <w:b/>
          <w:bCs/>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正常运行期间数据有效率=（应获取数据-无效数据）/应获取数据×100%。其中，“应获取数据”为按照监测频次要求扣除停运时段后理论应有的监测数据，以平台导出结果为准；“无效数据”为仪器故障、质控不合格期间产生的数据或经数据审核人员审核确认为无效的数据等。</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依照运维考核情况支付运行维护经费。</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（1）当站点常规六参数考核周期内监测数据任一指标有效率均不低于90%，不扣款。</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（2）当站点常规六参数考核周期内任一指标监测数据有效率在80%（含）～90%（不含），扣除该站点该考核周期运维费的10%。</w:t>
      </w:r>
      <w:r>
        <w:rPr>
          <w:rFonts w:hint="eastAsia" w:ascii="宋体" w:hAnsi="宋体" w:eastAsia="宋体" w:cs="宋体"/>
          <w:color w:val="000000"/>
          <w:sz w:val="24"/>
          <w:szCs w:val="24"/>
          <w:highlight w:val="none"/>
        </w:rPr>
      </w:r>
      <w:r/>
    </w:p>
    <w:p>
      <w:pPr>
        <w:pStyle w:val="1094"/>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（3）当站点常规六参数考核周期内任一指标监测数据有效率在70%（含）～80%（不含），扣除该该考核周期运维费30%。</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（4）当站点常规六参数考核周期内任一指标监测数据有效率低于70%，扣除该站点该考核周期全部运维费。</w:t>
      </w:r>
      <w:r>
        <w:rPr>
          <w:rFonts w:hint="eastAsia" w:ascii="宋体" w:hAnsi="宋体" w:eastAsia="宋体" w:cs="宋体"/>
          <w:color w:val="000000"/>
          <w:sz w:val="24"/>
          <w:szCs w:val="24"/>
          <w:highlight w:val="none"/>
        </w:rPr>
      </w:r>
      <w:r/>
    </w:p>
    <w:p>
      <w:pPr>
        <w:pStyle w:val="1094"/>
        <w:ind w:firstLine="482"/>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C.报价要求</w:t>
      </w:r>
      <w:r>
        <w:rPr>
          <w:rFonts w:ascii="宋体" w:hAnsi="宋体" w:eastAsia="宋体" w:cs="宋体"/>
          <w:color w:val="000000"/>
          <w:sz w:val="24"/>
          <w:szCs w:val="24"/>
          <w:highlight w:val="none"/>
          <w:lang w:val="en-US" w:eastAsia="zh-CN"/>
        </w:rPr>
      </w:r>
      <w:r/>
    </w:p>
    <w:p>
      <w:pPr>
        <w:pStyle w:val="1094"/>
        <w:ind w:firstLine="480"/>
        <w:spacing w:line="4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1、供应商须对本项目中的所有服务进行投报，不得拆开投报或只投其中的部分内容，否则将作失去磋商资格。</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2、运维服务费用包括完成该项目工作所需的所有费用，包括运维费（含人工费、 食宿费、交通工具使用费、各部分工作费用等）、专利技术、成交服务费、项目利润、税费及政策性文件规定和合同所包含的所有风险、责任等各项应有费用。</w:t>
      </w:r>
      <w:r>
        <w:rPr>
          <w:rFonts w:ascii="宋体" w:hAnsi="宋体" w:eastAsia="宋体" w:cs="宋体"/>
          <w:color w:val="000000"/>
          <w:sz w:val="24"/>
          <w:szCs w:val="24"/>
          <w:highlight w:val="none"/>
        </w:rPr>
      </w:r>
      <w:r/>
    </w:p>
    <w:p>
      <w:pPr>
        <w:pStyle w:val="1094"/>
        <w:ind w:firstLine="480"/>
        <w:spacing w:line="4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3、供应商在报价时应考虑各种风险因素，相关风险因素费用包含在报价总价中。风险因素包括遇重大活动、检查、突发情况、最低工资调整、物价调整、税费调整等。</w:t>
      </w:r>
      <w:r>
        <w:rPr>
          <w:rFonts w:ascii="宋体" w:hAnsi="宋体" w:eastAsia="宋体" w:cs="宋体"/>
          <w:color w:val="000000"/>
          <w:sz w:val="24"/>
          <w:szCs w:val="24"/>
          <w:highlight w:val="none"/>
        </w:rPr>
      </w:r>
      <w:r/>
    </w:p>
    <w:p>
      <w:pPr>
        <w:pStyle w:val="1094"/>
        <w:ind w:firstLine="480"/>
        <w:keepLines w:val="0"/>
        <w:keepNext w:val="0"/>
        <w:pageBreakBefore w:val="0"/>
        <w:spacing w:line="360" w:lineRule="auto"/>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t xml:space="preserve">4、分别对不同类型运维设备报价。</w:t>
      </w:r>
      <w:r>
        <w:rPr>
          <w:rFonts w:ascii="宋体" w:hAnsi="宋体" w:eastAsia="宋体" w:cs="宋体"/>
          <w:color w:val="000000"/>
          <w:sz w:val="24"/>
          <w:szCs w:val="24"/>
          <w:highlight w:val="none"/>
        </w:rPr>
      </w:r>
      <w:r/>
    </w:p>
    <w:p>
      <w:pPr>
        <w:pStyle w:val="1094"/>
        <w:ind w:firstLine="482"/>
        <w:keepLines w:val="0"/>
        <w:keepNext w:val="0"/>
        <w:pageBreakBefore w:val="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D.其他要求</w:t>
      </w:r>
      <w:r>
        <w:rPr>
          <w:rFonts w:ascii="宋体" w:hAnsi="宋体" w:eastAsia="宋体" w:cs="宋体"/>
          <w:b w:val="0"/>
          <w:bCs/>
          <w:color w:val="000000"/>
          <w:sz w:val="24"/>
          <w:szCs w:val="24"/>
          <w:highlight w:val="none"/>
          <w:lang w:val="en-US" w:eastAsia="zh-CN"/>
        </w:rPr>
      </w:r>
      <w:r/>
    </w:p>
    <w:p>
      <w:pPr>
        <w:pStyle w:val="1094"/>
        <w:ind w:firstLine="480"/>
        <w:spacing w:line="4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运维人员在履行工作职责期间（包括上下班途中），发生自身的人身伤害、伤亡以及事故等，均由</w:t>
      </w:r>
      <w:r>
        <w:rPr>
          <w:rFonts w:hint="eastAsia" w:ascii="宋体" w:hAnsi="宋体" w:eastAsia="宋体" w:cs="宋体"/>
          <w:color w:val="000000"/>
          <w:sz w:val="24"/>
          <w:szCs w:val="24"/>
          <w:highlight w:val="none"/>
        </w:rPr>
        <w:t xml:space="preserve">成交</w:t>
      </w:r>
      <w:r>
        <w:rPr>
          <w:rFonts w:ascii="宋体" w:hAnsi="宋体" w:eastAsia="宋体" w:cs="宋体"/>
          <w:color w:val="000000"/>
          <w:sz w:val="24"/>
          <w:szCs w:val="24"/>
          <w:highlight w:val="none"/>
        </w:rPr>
        <w:t xml:space="preserve">供应商负责处理并承担经济和道义上的责任，采购人不承担任何责任。</w:t>
      </w:r>
      <w:r>
        <w:rPr>
          <w:rFonts w:hint="eastAsia" w:ascii="宋体" w:hAnsi="宋体" w:eastAsia="宋体" w:cs="宋体"/>
          <w:color w:val="000000"/>
          <w:sz w:val="24"/>
          <w:szCs w:val="24"/>
          <w:highlight w:val="none"/>
        </w:rPr>
        <w:t xml:space="preserve">成交</w:t>
      </w:r>
      <w:r>
        <w:rPr>
          <w:rFonts w:ascii="宋体" w:hAnsi="宋体" w:eastAsia="宋体" w:cs="宋体"/>
          <w:color w:val="000000"/>
          <w:sz w:val="24"/>
          <w:szCs w:val="24"/>
          <w:highlight w:val="none"/>
        </w:rPr>
        <w:t xml:space="preserve">供应商与所派遣的运维人员发生纠纷，均由</w:t>
      </w:r>
      <w:r>
        <w:rPr>
          <w:rFonts w:hint="eastAsia" w:ascii="宋体" w:hAnsi="宋体" w:eastAsia="宋体" w:cs="宋体"/>
          <w:color w:val="000000"/>
          <w:sz w:val="24"/>
          <w:szCs w:val="24"/>
          <w:highlight w:val="none"/>
        </w:rPr>
        <w:t xml:space="preserve">成交</w:t>
      </w:r>
      <w:r>
        <w:rPr>
          <w:rFonts w:ascii="宋体" w:hAnsi="宋体" w:eastAsia="宋体" w:cs="宋体"/>
          <w:color w:val="000000"/>
          <w:sz w:val="24"/>
          <w:szCs w:val="24"/>
          <w:highlight w:val="none"/>
        </w:rPr>
        <w:t xml:space="preserve">供应商负责调解与处理，采购人不承担责任。</w:t>
      </w:r>
      <w:r>
        <w:rPr>
          <w:rFonts w:ascii="宋体" w:hAnsi="宋体" w:eastAsia="宋体" w:cs="宋体"/>
          <w:color w:val="000000"/>
          <w:sz w:val="24"/>
          <w:szCs w:val="24"/>
          <w:highlight w:val="none"/>
        </w:rPr>
      </w:r>
      <w:r/>
    </w:p>
    <w:p>
      <w:pPr>
        <w:pStyle w:val="1094"/>
        <w:ind w:right="327" w:firstLine="480"/>
        <w:spacing w:before="78" w:line="35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非目前已在执行运维工作的公司，需由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按中标金额、实际开展的运维工作量核算金额，支付给在</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履行本包合同前实际承担运维工作的公司，并做好与本包合同前实际承担运维工作的公司的交接工作、核算金额以</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和实际运维公司双方达成的协议或合同为准。</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江苏省政府采购履约验收管理办法》要求，成交供应商在合同中期（终期）需配合采购人完成履约验收工作，提供履约工作报告（报告需陈述运维期工作开展情况、目标达成情况、运维日志汇总等）并加盖公章，经采购人验收合格后，作为成交供应商履约完成工作依据。</w:t>
      </w:r>
      <w:r>
        <w:rPr>
          <w:rFonts w:hint="eastAsia" w:ascii="宋体" w:hAnsi="宋体" w:eastAsia="宋体" w:cs="宋体"/>
          <w:color w:val="000000"/>
          <w:sz w:val="24"/>
          <w:szCs w:val="24"/>
          <w:highlight w:val="none"/>
          <w:lang w:val="en-US" w:eastAsia="zh-CN"/>
        </w:rPr>
      </w:r>
      <w:r/>
    </w:p>
    <w:p>
      <w:pPr>
        <w:pStyle w:val="1094"/>
        <w:spacing w:line="360" w:lineRule="auto"/>
        <w:rPr>
          <w:rFonts w:hint="eastAsia" w:ascii="宋体" w:hAnsi="宋体" w:cs="仿宋"/>
          <w:b/>
          <w:color w:val="000000"/>
          <w:sz w:val="24"/>
          <w:highlight w:val="none"/>
        </w:rPr>
      </w:pPr>
      <w:r>
        <w:rPr>
          <w:rFonts w:hint="eastAsia" w:ascii="宋体" w:hAnsi="宋体" w:cs="仿宋"/>
          <w:b/>
          <w:color w:val="000000"/>
          <w:sz w:val="24"/>
          <w:highlight w:val="none"/>
          <w:lang w:val="en-US" w:eastAsia="zh-CN"/>
        </w:rPr>
        <w:t xml:space="preserve">四</w:t>
      </w:r>
      <w:r>
        <w:rPr>
          <w:rFonts w:hint="eastAsia" w:ascii="宋体" w:hAnsi="宋体" w:cs="仿宋"/>
          <w:b/>
          <w:color w:val="000000"/>
          <w:sz w:val="24"/>
          <w:highlight w:val="none"/>
        </w:rPr>
        <w:t xml:space="preserve">、验收标准</w:t>
      </w:r>
      <w:r>
        <w:rPr>
          <w:rFonts w:hint="eastAsia" w:ascii="宋体" w:hAnsi="宋体" w:cs="仿宋"/>
          <w:b/>
          <w:color w:val="000000"/>
          <w:sz w:val="24"/>
          <w:highlight w:val="none"/>
        </w:rPr>
      </w:r>
      <w:r/>
    </w:p>
    <w:p>
      <w:pPr>
        <w:pStyle w:val="109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cs="仿宋"/>
          <w:color w:val="000000"/>
          <w:sz w:val="24"/>
          <w:highlight w:val="none"/>
        </w:rPr>
        <w:t xml:space="preserve">符合国家及地方相关法律、法规及规范性文件的规定。</w:t>
      </w:r>
      <w:r>
        <w:rPr>
          <w:rFonts w:ascii="宋体" w:hAnsi="宋体" w:eastAsia="宋体" w:cs="宋体"/>
          <w:color w:val="000000"/>
          <w:sz w:val="24"/>
          <w:szCs w:val="24"/>
          <w:highlight w:val="none"/>
          <w:lang w:val="en-US" w:eastAsia="zh-CN"/>
        </w:rPr>
      </w:r>
      <w:r/>
    </w:p>
    <w:p>
      <w:pPr>
        <w:pStyle w:val="1094"/>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五、其他要求</w:t>
      </w:r>
      <w:r>
        <w:rPr>
          <w:rFonts w:hint="eastAsia" w:ascii="宋体" w:hAnsi="宋体" w:eastAsia="宋体" w:cs="宋体"/>
          <w:b/>
          <w:color w:val="000000"/>
          <w:sz w:val="24"/>
          <w:szCs w:val="24"/>
          <w:highlight w:val="none"/>
          <w:lang w:val="en-US" w:eastAsia="zh-CN"/>
        </w:rPr>
      </w:r>
      <w:r/>
    </w:p>
    <w:p>
      <w:pPr>
        <w:pStyle w:val="1213"/>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szCs w:val="24"/>
          <w:highlight w:val="none"/>
          <w:u w:val="single"/>
          <w:lang w:val="en-US" w:eastAsia="zh-CN"/>
        </w:rPr>
        <w:t xml:space="preserve"> 100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color w:val="000000"/>
          <w:sz w:val="24"/>
          <w:szCs w:val="24"/>
          <w:highlight w:val="none"/>
          <w:u w:val="none"/>
          <w:lang w:val="en-US" w:eastAsia="zh-CN"/>
        </w:rPr>
        <w:t xml:space="preserve">六</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本项目磋商报价为</w:t>
      </w:r>
      <w:r>
        <w:rPr>
          <w:rFonts w:hint="eastAsia" w:ascii="宋体" w:hAnsi="宋体" w:eastAsia="宋体" w:cs="宋体"/>
          <w:b/>
          <w:bCs/>
          <w:color w:val="000000"/>
          <w:sz w:val="24"/>
          <w:szCs w:val="24"/>
          <w:highlight w:val="none"/>
          <w:lang w:val="en-US" w:eastAsia="zh-CN"/>
        </w:rPr>
        <w:t xml:space="preserve">固定总价</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lang w:val="en-US" w:eastAsia="zh-CN"/>
        </w:rPr>
      </w:r>
      <w:r/>
    </w:p>
    <w:p>
      <w:pPr>
        <w:pStyle w:val="1094"/>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Style w:val="1094"/>
        <w:jc w:val="center"/>
        <w:widowControl/>
        <w:rPr>
          <w:b/>
          <w:color w:val="000000"/>
          <w:sz w:val="36"/>
          <w:szCs w:val="36"/>
          <w:highlight w:val="none"/>
        </w:rPr>
      </w:pPr>
      <w:r/>
      <w:bookmarkStart w:id="611" w:name="_Toc104818930"/>
      <w:r>
        <w:rPr>
          <w:b/>
          <w:color w:val="000000"/>
          <w:sz w:val="36"/>
          <w:szCs w:val="36"/>
          <w:highlight w:val="none"/>
        </w:rPr>
        <w:br w:type="page" w:clear="all"/>
      </w:r>
      <w:r>
        <w:rPr>
          <w:b/>
          <w:color w:val="000000"/>
          <w:sz w:val="36"/>
          <w:szCs w:val="36"/>
          <w:highlight w:val="none"/>
        </w:rPr>
        <w:t xml:space="preserve">第五章   合同草案条款</w:t>
      </w:r>
      <w:r>
        <w:rPr>
          <w:b/>
          <w:color w:val="000000"/>
          <w:sz w:val="36"/>
          <w:szCs w:val="36"/>
          <w:highlight w:val="none"/>
        </w:rPr>
      </w:r>
      <w:r/>
    </w:p>
    <w:p>
      <w:pPr>
        <w:pStyle w:val="1094"/>
        <w:keepLines w:val="0"/>
        <w:keepNext w:val="0"/>
        <w:pageBreakBefore w:val="0"/>
        <w:spacing w:line="360" w:lineRule="auto"/>
        <w:tabs>
          <w:tab w:val="left" w:pos="90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采购人（以下称甲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137"/>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r>
      <w:r/>
    </w:p>
    <w:p>
      <w:pPr>
        <w:pStyle w:val="1113"/>
        <w:ind w:firstLine="52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137"/>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137"/>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94"/>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         ，</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37"/>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37"/>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签约合同价（人民币，下同）：</w:t>
      </w:r>
      <w:r>
        <w:rPr>
          <w:rFonts w:hint="eastAsia" w:ascii="宋体" w:hAnsi="宋体" w:eastAsia="宋体" w:cs="宋体"/>
          <w:b/>
          <w:color w:val="000000"/>
          <w:sz w:val="24"/>
          <w:szCs w:val="24"/>
          <w:highlight w:val="none"/>
          <w:u w:val="single"/>
        </w:rPr>
        <w:t xml:space="preserve">             元</w:t>
      </w:r>
      <w:r>
        <w:rPr>
          <w:rFonts w:hint="eastAsia" w:ascii="宋体" w:hAnsi="宋体" w:eastAsia="宋体" w:cs="宋体"/>
          <w:b/>
          <w:color w:val="000000"/>
          <w:sz w:val="24"/>
          <w:szCs w:val="24"/>
          <w:highlight w:val="none"/>
        </w:rPr>
        <w:t xml:space="preserve">（小写       </w:t>
      </w:r>
      <w:r>
        <w:rPr>
          <w:rFonts w:hint="eastAsia" w:hAnsi="宋体" w:eastAsia="宋体" w:cs="宋体"/>
          <w:b/>
          <w:color w:val="000000"/>
          <w:sz w:val="24"/>
          <w:szCs w:val="24"/>
          <w:highlight w:val="none"/>
          <w:lang w:val="en-US" w:eastAsia="zh-CN"/>
        </w:rPr>
        <w:t xml:space="preserve">元</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137"/>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rPr>
          <w:rFonts w:hint="eastAsia" w:ascii="宋体" w:hAnsi="宋体" w:eastAsia="宋体" w:cs="宋体"/>
          <w:color w:val="000000"/>
          <w:sz w:val="24"/>
          <w:szCs w:val="24"/>
          <w:highlight w:val="none"/>
        </w:rPr>
      </w:r>
      <w:r/>
    </w:p>
    <w:p>
      <w:pPr>
        <w:pStyle w:val="1137"/>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本合同价款还包含乙方应当提供的伴随服务/售后服务费用。</w:t>
      </w:r>
      <w:r>
        <w:rPr>
          <w:rFonts w:hint="eastAsia" w:ascii="宋体" w:hAnsi="宋体" w:eastAsia="宋体" w:cs="宋体"/>
          <w:color w:val="000000"/>
          <w:sz w:val="24"/>
          <w:szCs w:val="24"/>
          <w:highlight w:val="none"/>
        </w:rPr>
      </w:r>
      <w:r/>
    </w:p>
    <w:p>
      <w:pPr>
        <w:pStyle w:val="1137"/>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137"/>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37"/>
        <w:ind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（1）竞争性磋商文件（编号：</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）（2）乙方提供的磋商响应文件；</w:t>
      </w:r>
      <w:r>
        <w:rPr>
          <w:rFonts w:hint="eastAsia" w:ascii="宋体" w:hAnsi="宋体" w:eastAsia="宋体" w:cs="宋体"/>
          <w:color w:val="000000"/>
          <w:sz w:val="24"/>
          <w:szCs w:val="24"/>
          <w:highlight w:val="none"/>
        </w:rPr>
      </w:r>
      <w:r/>
    </w:p>
    <w:p>
      <w:pPr>
        <w:pStyle w:val="1137"/>
        <w:ind w:firstLine="24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（3）成交通知书；                  （4）甲乙双方商定的其他文件等。</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合同款结算及支付</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3.结算方式：固定总价。</w:t>
      </w:r>
      <w:r>
        <w:rPr>
          <w:rFonts w:hint="eastAsia" w:ascii="宋体" w:hAnsi="宋体" w:eastAsia="宋体" w:cs="宋体"/>
          <w:color w:val="000000"/>
          <w:sz w:val="24"/>
          <w:szCs w:val="24"/>
          <w:highlight w:val="none"/>
          <w:lang w:val="en-US" w:eastAsia="zh-CN"/>
        </w:rPr>
      </w:r>
      <w:r/>
    </w:p>
    <w:p>
      <w:pPr>
        <w:pStyle w:val="1094"/>
        <w:contextualSpacing/>
        <w:ind w:firstLine="48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t xml:space="preserve">合同签订生效后，于2025年底前支付合同金额的30%，合同中期经履约验收后，支付至合同金额的60%，合同终期经履约验收后，付清剩余尾款。</w:t>
      </w:r>
      <w:r>
        <w:rPr>
          <w:rFonts w:hint="eastAsia" w:ascii="宋体" w:hAnsi="宋体" w:eastAsia="宋体" w:cs="宋体"/>
          <w:color w:val="000000"/>
          <w:sz w:val="24"/>
          <w:szCs w:val="24"/>
          <w:highlight w:val="none"/>
        </w:rPr>
        <w:t xml:space="preserve">其中需扣除当年度运维期间因不符合相关技术规范及违反规章制度必须扣发的运维费。</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color w:val="000000"/>
          <w:sz w:val="24"/>
          <w:szCs w:val="24"/>
          <w:highlight w:val="none"/>
          <w:lang w:eastAsia="zh-CN"/>
        </w:rPr>
      </w:pPr>
      <w:r>
        <w:rPr>
          <w:rFonts w:ascii="宋体" w:hAnsi="宋体" w:eastAsia="宋体" w:cs="宋体"/>
          <w:b/>
          <w:bCs/>
          <w:color w:val="000000"/>
          <w:sz w:val="24"/>
          <w:szCs w:val="24"/>
          <w:highlight w:val="none"/>
        </w:rPr>
        <w:t xml:space="preserve">注：以上每次付款前，</w:t>
      </w:r>
      <w:r>
        <w:rPr>
          <w:rFonts w:hint="eastAsia" w:ascii="宋体" w:hAnsi="宋体" w:eastAsia="宋体" w:cs="宋体"/>
          <w:b/>
          <w:bCs/>
          <w:color w:val="000000"/>
          <w:sz w:val="24"/>
          <w:szCs w:val="24"/>
          <w:highlight w:val="none"/>
          <w:lang w:val="en-US" w:eastAsia="zh-CN"/>
        </w:rPr>
        <w:t xml:space="preserve">乙方</w:t>
      </w:r>
      <w:r>
        <w:rPr>
          <w:rFonts w:ascii="宋体" w:hAnsi="宋体" w:eastAsia="宋体" w:cs="宋体"/>
          <w:b/>
          <w:bCs/>
          <w:color w:val="000000"/>
          <w:sz w:val="24"/>
          <w:szCs w:val="24"/>
          <w:highlight w:val="none"/>
        </w:rPr>
        <w:t xml:space="preserve">均应提供符合</w:t>
      </w:r>
      <w:r>
        <w:rPr>
          <w:rFonts w:hint="eastAsia" w:ascii="宋体" w:hAnsi="宋体" w:eastAsia="宋体" w:cs="宋体"/>
          <w:b/>
          <w:bCs/>
          <w:color w:val="000000"/>
          <w:sz w:val="24"/>
          <w:szCs w:val="24"/>
          <w:highlight w:val="none"/>
          <w:lang w:val="en-US" w:eastAsia="zh-CN"/>
        </w:rPr>
        <w:t xml:space="preserve">甲方</w:t>
      </w:r>
      <w:r>
        <w:rPr>
          <w:rFonts w:ascii="宋体" w:hAnsi="宋体" w:eastAsia="宋体" w:cs="宋体"/>
          <w:b/>
          <w:bCs/>
          <w:color w:val="000000"/>
          <w:sz w:val="24"/>
          <w:szCs w:val="24"/>
          <w:highlight w:val="none"/>
        </w:rPr>
        <w:t xml:space="preserve">要求的同等金额的合法有效发票。否则，</w:t>
      </w:r>
      <w:r>
        <w:rPr>
          <w:rFonts w:hint="eastAsia" w:ascii="宋体" w:hAnsi="宋体" w:eastAsia="宋体" w:cs="宋体"/>
          <w:b/>
          <w:bCs/>
          <w:color w:val="000000"/>
          <w:sz w:val="24"/>
          <w:szCs w:val="24"/>
          <w:highlight w:val="none"/>
          <w:lang w:val="en-US" w:eastAsia="zh-CN"/>
        </w:rPr>
        <w:t xml:space="preserve">甲方</w:t>
      </w:r>
      <w:r>
        <w:rPr>
          <w:rFonts w:ascii="宋体" w:hAnsi="宋体" w:eastAsia="宋体" w:cs="宋体"/>
          <w:b/>
          <w:bCs/>
          <w:color w:val="000000"/>
          <w:sz w:val="24"/>
          <w:szCs w:val="24"/>
          <w:highlight w:val="none"/>
        </w:rPr>
        <w:t xml:space="preserve">有权顺延付款时间，且不承担任何违约或赔偿责任</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违约责任</w:t>
      </w:r>
      <w:r>
        <w:rPr>
          <w:rFonts w:hint="eastAsia" w:ascii="宋体" w:hAnsi="宋体" w:eastAsia="宋体" w:cs="宋体"/>
          <w:b/>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2.甲方未按合同规定的期限向乙方支付</w:t>
      </w:r>
      <w:r>
        <w:rPr>
          <w:rFonts w:hint="eastAsia" w:ascii="宋体" w:hAnsi="宋体" w:eastAsia="宋体" w:cs="宋体"/>
          <w:color w:val="000000"/>
          <w:sz w:val="24"/>
          <w:szCs w:val="24"/>
          <w:highlight w:val="none"/>
          <w:lang w:val="en-US" w:eastAsia="zh-CN"/>
        </w:rPr>
        <w:t xml:space="preserve">款项</w:t>
      </w:r>
      <w:r>
        <w:rPr>
          <w:rFonts w:hint="eastAsia" w:ascii="宋体" w:hAnsi="宋体" w:eastAsia="宋体" w:cs="宋体"/>
          <w:color w:val="000000"/>
          <w:sz w:val="24"/>
          <w:szCs w:val="24"/>
          <w:highlight w:val="none"/>
        </w:rPr>
        <w:t xml:space="preserve">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3.乙方未按本合同的规定和“服务承诺”提供伴随服务的，甲方有权提前解除本合同，同时乙方应按合同总价款的5 %向甲方承担违约责任。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09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6.其他未尽事宜，以《</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第六条 合同的变更和终止</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第七条 合同的转让</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第八条 不可抗力</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第九条 争议的解决</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诚实信用 </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4"/>
          <w:szCs w:val="24"/>
          <w:highlight w:val="none"/>
        </w:rPr>
      </w:r>
      <w:r/>
    </w:p>
    <w:p>
      <w:pPr>
        <w:pStyle w:val="109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第十一条 合同生效及其他</w:t>
      </w:r>
      <w:r>
        <w:rPr>
          <w:rFonts w:hint="eastAsia" w:ascii="宋体" w:hAnsi="宋体" w:eastAsia="宋体" w:cs="宋体"/>
          <w:b/>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9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109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9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单位名称（章）：                          单位名称（章）：</w:t>
      </w:r>
      <w:r>
        <w:rPr>
          <w:rFonts w:hint="eastAsia" w:ascii="宋体" w:hAnsi="宋体" w:eastAsia="宋体" w:cs="宋体"/>
          <w:color w:val="000000"/>
          <w:sz w:val="24"/>
          <w:szCs w:val="24"/>
          <w:highlight w:val="none"/>
          <w:u w:val="single"/>
        </w:rPr>
      </w:r>
      <w:r/>
    </w:p>
    <w:p>
      <w:pPr>
        <w:pStyle w:val="109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u w:val="single"/>
        </w:rPr>
      </w:r>
      <w:r/>
    </w:p>
    <w:p>
      <w:pPr>
        <w:pStyle w:val="109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法定代表人：     委托代理人：                            </w:t>
      </w:r>
      <w:r>
        <w:rPr>
          <w:rFonts w:hint="eastAsia" w:ascii="宋体" w:hAnsi="宋体" w:eastAsia="宋体" w:cs="宋体"/>
          <w:color w:val="000000"/>
          <w:sz w:val="24"/>
          <w:szCs w:val="24"/>
          <w:highlight w:val="none"/>
        </w:rPr>
      </w:r>
      <w:r/>
    </w:p>
    <w:p>
      <w:pPr>
        <w:pStyle w:val="109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传真：</w:t>
      </w:r>
      <w:r>
        <w:rPr>
          <w:rFonts w:hint="eastAsia" w:ascii="宋体" w:hAnsi="宋体" w:eastAsia="宋体" w:cs="宋体"/>
          <w:color w:val="000000"/>
          <w:sz w:val="24"/>
          <w:szCs w:val="24"/>
          <w:highlight w:val="none"/>
        </w:rPr>
      </w:r>
      <w:r/>
    </w:p>
    <w:p>
      <w:pPr>
        <w:pStyle w:val="1094"/>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传真：                                   开户银行：        </w:t>
      </w:r>
      <w:r>
        <w:rPr>
          <w:rFonts w:hint="eastAsia" w:ascii="宋体" w:hAnsi="宋体" w:eastAsia="宋体" w:cs="宋体"/>
          <w:color w:val="000000"/>
          <w:sz w:val="24"/>
          <w:szCs w:val="24"/>
          <w:highlight w:val="none"/>
          <w:lang w:eastAsia="zh-CN"/>
        </w:rPr>
        <w:t xml:space="preserve">账</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r>
      <w:r/>
    </w:p>
    <w:p>
      <w:pPr>
        <w:pStyle w:val="109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eastAsia="zh-CN"/>
        </w:rPr>
      </w:r>
      <w:r/>
    </w:p>
    <w:p>
      <w:pPr>
        <w:pStyle w:val="1094"/>
        <w:jc w:val="center"/>
        <w:spacing w:line="360" w:lineRule="auto"/>
        <w:rPr>
          <w:b/>
          <w:color w:val="000000"/>
          <w:sz w:val="36"/>
          <w:szCs w:val="36"/>
          <w:highlight w:val="none"/>
        </w:rPr>
        <w:outlineLvl w:val="0"/>
      </w:pPr>
      <w:r/>
      <w:bookmarkStart w:id="612" w:name="_Toc10386"/>
      <w:r>
        <w:rPr>
          <w:b/>
          <w:color w:val="000000"/>
          <w:sz w:val="36"/>
          <w:szCs w:val="36"/>
          <w:highlight w:val="none"/>
        </w:rPr>
        <w:t xml:space="preserve">第六章   响应文件格式</w:t>
      </w:r>
      <w:bookmarkEnd w:id="611"/>
      <w:r/>
      <w:bookmarkEnd w:id="612"/>
      <w:r>
        <w:rPr>
          <w:b/>
          <w:color w:val="000000"/>
          <w:sz w:val="36"/>
          <w:szCs w:val="36"/>
          <w:highlight w:val="none"/>
        </w:rPr>
      </w:r>
      <w:r/>
    </w:p>
    <w:p>
      <w:pPr>
        <w:pStyle w:val="1094"/>
        <w:jc w:val="left"/>
        <w:spacing w:line="360" w:lineRule="auto"/>
        <w:widowControl/>
        <w:rPr>
          <w:b/>
          <w:color w:val="000000"/>
          <w:sz w:val="24"/>
          <w:highlight w:val="none"/>
        </w:rPr>
        <w:outlineLvl w:val="9"/>
      </w:pPr>
      <w:r>
        <w:rPr>
          <w:b/>
          <w:color w:val="000000"/>
          <w:sz w:val="24"/>
          <w:highlight w:val="none"/>
        </w:rPr>
      </w:r>
      <w:r/>
    </w:p>
    <w:p>
      <w:pPr>
        <w:pStyle w:val="1094"/>
        <w:jc w:val="left"/>
        <w:spacing w:line="360" w:lineRule="auto"/>
        <w:widowControl/>
        <w:rPr>
          <w:b/>
          <w:color w:val="000000"/>
          <w:sz w:val="24"/>
          <w:highlight w:val="none"/>
        </w:rPr>
        <w:outlineLvl w:val="9"/>
      </w:pPr>
      <w:r>
        <w:rPr>
          <w:b/>
          <w:color w:val="000000"/>
          <w:sz w:val="24"/>
          <w:highlight w:val="none"/>
        </w:rPr>
      </w:r>
      <w:r/>
    </w:p>
    <w:p>
      <w:pPr>
        <w:pStyle w:val="1094"/>
        <w:ind w:left="142"/>
        <w:spacing w:line="360" w:lineRule="auto"/>
        <w:tabs>
          <w:tab w:val="left" w:pos="900" w:leader="none"/>
          <w:tab w:val="left" w:pos="1980" w:leader="none"/>
        </w:tabs>
        <w:rPr>
          <w:b/>
          <w:color w:val="000000"/>
          <w:sz w:val="24"/>
          <w:highlight w:val="none"/>
        </w:rPr>
        <w:outlineLvl w:val="9"/>
      </w:pPr>
      <w:r>
        <w:rPr>
          <w:rFonts w:hint="eastAsia"/>
          <w:b/>
          <w:color w:val="000000"/>
          <w:sz w:val="24"/>
          <w:highlight w:val="none"/>
        </w:rPr>
        <w:t xml:space="preserve">供应商编制文件须知</w:t>
      </w:r>
      <w:r>
        <w:rPr>
          <w:b/>
          <w:color w:val="000000"/>
          <w:sz w:val="24"/>
          <w:highlight w:val="none"/>
        </w:rPr>
      </w:r>
      <w:r/>
    </w:p>
    <w:p>
      <w:pPr>
        <w:pStyle w:val="1094"/>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94"/>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94"/>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1094"/>
        <w:ind w:left="142"/>
        <w:spacing w:line="360" w:lineRule="auto"/>
        <w:tabs>
          <w:tab w:val="left" w:pos="900" w:leader="none"/>
          <w:tab w:val="left" w:pos="1980" w:leader="none"/>
        </w:tabs>
        <w:rPr>
          <w:color w:val="000000"/>
          <w:sz w:val="24"/>
          <w:highlight w:val="none"/>
        </w:rPr>
        <w:outlineLvl w:val="9"/>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1094"/>
        <w:ind w:left="142"/>
        <w:spacing w:line="360" w:lineRule="auto"/>
        <w:tabs>
          <w:tab w:val="left" w:pos="900" w:leader="none"/>
          <w:tab w:val="left" w:pos="1980" w:leader="none"/>
        </w:tabs>
        <w:rPr>
          <w:color w:val="000000"/>
          <w:sz w:val="24"/>
          <w:highlight w:val="none"/>
        </w:rPr>
        <w:outlineLvl w:val="9"/>
      </w:pPr>
      <w:r>
        <w:rPr>
          <w:color w:val="000000"/>
          <w:sz w:val="24"/>
          <w:highlight w:val="none"/>
        </w:rPr>
      </w:r>
      <w:r/>
    </w:p>
    <w:p>
      <w:pPr>
        <w:pStyle w:val="1094"/>
        <w:jc w:val="left"/>
        <w:widowControl/>
        <w:rPr>
          <w:color w:val="000000"/>
          <w:sz w:val="24"/>
          <w:highlight w:val="none"/>
        </w:rPr>
        <w:outlineLvl w:val="9"/>
      </w:pPr>
      <w:r>
        <w:rPr>
          <w:color w:val="000000"/>
          <w:sz w:val="24"/>
          <w:highlight w:val="none"/>
        </w:rPr>
        <w:br w:type="page" w:clear="all"/>
      </w:r>
      <w:r>
        <w:rPr>
          <w:color w:val="000000"/>
          <w:sz w:val="24"/>
          <w:highlight w:val="none"/>
        </w:rPr>
      </w:r>
      <w:r/>
    </w:p>
    <w:p>
      <w:pPr>
        <w:pStyle w:val="1094"/>
        <w:rPr>
          <w:b/>
          <w:color w:val="000000"/>
          <w:spacing w:val="20"/>
          <w:szCs w:val="21"/>
          <w:highlight w:val="none"/>
        </w:rPr>
        <w:outlineLvl w:val="9"/>
      </w:pPr>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b/>
          <w:color w:val="000000"/>
          <w:spacing w:val="20"/>
          <w:szCs w:val="21"/>
          <w:highlight w:val="none"/>
        </w:rPr>
      </w:r>
      <w:r/>
    </w:p>
    <w:p>
      <w:pPr>
        <w:pStyle w:val="1094"/>
        <w:rPr>
          <w:b/>
          <w:color w:val="000000"/>
          <w:sz w:val="24"/>
          <w:highlight w:val="none"/>
        </w:rPr>
        <w:outlineLvl w:val="9"/>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94"/>
        <w:jc w:val="center"/>
        <w:rPr>
          <w:color w:val="000000"/>
          <w:szCs w:val="21"/>
          <w:highlight w:val="none"/>
        </w:rPr>
        <w:outlineLvl w:val="9"/>
      </w:pPr>
      <w:r>
        <w:rPr>
          <w:color w:val="000000"/>
          <w:szCs w:val="21"/>
          <w:highlight w:val="none"/>
        </w:rPr>
      </w:r>
      <w:r/>
    </w:p>
    <w:p>
      <w:pPr>
        <w:pStyle w:val="1094"/>
        <w:jc w:val="center"/>
        <w:rPr>
          <w:b/>
          <w:color w:val="000000"/>
          <w:spacing w:val="60"/>
          <w:sz w:val="84"/>
          <w:szCs w:val="84"/>
          <w:highlight w:val="none"/>
        </w:rPr>
        <w:outlineLvl w:val="9"/>
      </w:pPr>
      <w:r>
        <w:rPr>
          <w:b/>
          <w:color w:val="000000"/>
          <w:spacing w:val="60"/>
          <w:sz w:val="84"/>
          <w:szCs w:val="84"/>
          <w:highlight w:val="none"/>
        </w:rPr>
        <w:t xml:space="preserve">响 应 文 件</w:t>
      </w:r>
      <w:r>
        <w:rPr>
          <w:b/>
          <w:color w:val="000000"/>
          <w:spacing w:val="60"/>
          <w:sz w:val="84"/>
          <w:szCs w:val="84"/>
          <w:highlight w:val="none"/>
        </w:rPr>
      </w:r>
      <w:r/>
    </w:p>
    <w:p>
      <w:pPr>
        <w:pStyle w:val="1094"/>
        <w:jc w:val="center"/>
        <w:rPr>
          <w:b/>
          <w:color w:val="000000"/>
          <w:spacing w:val="60"/>
          <w:sz w:val="52"/>
          <w:szCs w:val="52"/>
          <w:highlight w:val="none"/>
        </w:rPr>
        <w:outlineLvl w:val="9"/>
      </w:pPr>
      <w:r>
        <w:rPr>
          <w:b/>
          <w:color w:val="000000"/>
          <w:spacing w:val="60"/>
          <w:sz w:val="52"/>
          <w:szCs w:val="52"/>
          <w:highlight w:val="none"/>
        </w:rPr>
      </w:r>
      <w:r/>
    </w:p>
    <w:p>
      <w:pPr>
        <w:pStyle w:val="1094"/>
        <w:ind w:firstLine="542"/>
        <w:rPr>
          <w:b/>
          <w:color w:val="000000"/>
          <w:spacing w:val="20"/>
          <w:sz w:val="32"/>
          <w:szCs w:val="32"/>
          <w:highlight w:val="none"/>
        </w:rPr>
        <w:outlineLvl w:val="9"/>
      </w:pPr>
      <w:r>
        <w:rPr>
          <w:b/>
          <w:color w:val="000000"/>
          <w:spacing w:val="20"/>
          <w:sz w:val="32"/>
          <w:szCs w:val="32"/>
          <w:highlight w:val="none"/>
        </w:rPr>
      </w:r>
      <w:r/>
    </w:p>
    <w:p>
      <w:pPr>
        <w:pStyle w:val="1094"/>
        <w:ind w:firstLine="542"/>
        <w:rPr>
          <w:b/>
          <w:color w:val="000000"/>
          <w:spacing w:val="20"/>
          <w:sz w:val="32"/>
          <w:szCs w:val="32"/>
          <w:highlight w:val="none"/>
        </w:rPr>
        <w:outlineLvl w:val="9"/>
      </w:pPr>
      <w:r>
        <w:rPr>
          <w:b/>
          <w:color w:val="000000"/>
          <w:spacing w:val="20"/>
          <w:sz w:val="32"/>
          <w:szCs w:val="32"/>
          <w:highlight w:val="none"/>
        </w:rPr>
      </w:r>
      <w:r/>
    </w:p>
    <w:p>
      <w:pPr>
        <w:pStyle w:val="1094"/>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4"/>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4"/>
        <w:rPr>
          <w:rFonts w:ascii="宋体" w:hAnsi="宋体"/>
          <w:b/>
          <w:color w:val="000000"/>
          <w:sz w:val="36"/>
          <w:highlight w:val="none"/>
          <w:u w:val="single"/>
        </w:rPr>
        <w:outlineLvl w:val="9"/>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94"/>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94"/>
        <w:jc w:val="center"/>
        <w:rPr>
          <w:b/>
          <w:color w:val="000000"/>
          <w:sz w:val="32"/>
          <w:szCs w:val="32"/>
          <w:highlight w:val="none"/>
        </w:rPr>
        <w:outlineLvl w:val="9"/>
      </w:pPr>
      <w:r>
        <w:rPr>
          <w:b/>
          <w:color w:val="000000"/>
          <w:sz w:val="32"/>
          <w:szCs w:val="32"/>
          <w:highlight w:val="none"/>
        </w:rPr>
      </w:r>
      <w:r/>
    </w:p>
    <w:p>
      <w:pPr>
        <w:pStyle w:val="1094"/>
        <w:rPr>
          <w:color w:val="000000"/>
          <w:sz w:val="24"/>
          <w:szCs w:val="20"/>
          <w:highlight w:val="none"/>
        </w:rPr>
        <w:outlineLvl w:val="9"/>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94"/>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供应商资格声明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1094"/>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1094"/>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113"/>
        <w:ind w:firstLine="480"/>
        <w:spacing w:line="460" w:lineRule="exact"/>
        <w:rPr>
          <w:color w:val="000000"/>
          <w:highlight w:val="none"/>
        </w:rPr>
        <w:outlineLvl w:val="9"/>
      </w:pPr>
      <w:r>
        <w:rPr>
          <w:color w:val="000000"/>
          <w:highlight w:val="none"/>
        </w:rPr>
      </w:r>
      <w:r/>
    </w:p>
    <w:p>
      <w:pPr>
        <w:pStyle w:val="1113"/>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1113"/>
        <w:ind w:firstLine="960"/>
        <w:spacing w:line="460" w:lineRule="exact"/>
        <w:rPr>
          <w:color w:val="000000"/>
          <w:highlight w:val="none"/>
          <w:u w:val="single"/>
        </w:rPr>
        <w:outlineLvl w:val="9"/>
      </w:pPr>
      <w:r>
        <w:rPr>
          <w:rFonts w:hint="eastAsia"/>
          <w:color w:val="000000"/>
          <w:highlight w:val="none"/>
          <w:u w:val="single"/>
        </w:rPr>
        <w:t xml:space="preserve">（采购人名称）</w:t>
      </w:r>
      <w:r>
        <w:rPr>
          <w:color w:val="000000"/>
          <w:highlight w:val="none"/>
          <w:u w:val="single"/>
        </w:rPr>
      </w:r>
      <w:r/>
    </w:p>
    <w:p>
      <w:pPr>
        <w:pStyle w:val="1113"/>
        <w:ind w:firstLine="480"/>
        <w:spacing w:line="460" w:lineRule="exact"/>
        <w:rPr>
          <w:color w:val="000000"/>
          <w:highlight w:val="none"/>
        </w:rPr>
        <w:outlineLvl w:val="9"/>
      </w:pP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四、我单位依法进行纳税和社会保险申报并实际履行了义务。</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七、我单位具备法律、行政法规规定的其他条件。</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13"/>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13"/>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13"/>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13"/>
        <w:ind w:firstLine="480"/>
        <w:spacing w:line="460" w:lineRule="exact"/>
        <w:rPr>
          <w:color w:val="000000"/>
          <w:highlight w:val="none"/>
        </w:rPr>
        <w:outlineLvl w:val="9"/>
      </w:pP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13"/>
        <w:ind w:firstLine="480"/>
        <w:spacing w:line="460" w:lineRule="exact"/>
        <w:rPr>
          <w:color w:val="000000"/>
          <w:highlight w:val="none"/>
        </w:rPr>
        <w:outlineLvl w:val="9"/>
      </w:pPr>
      <w:r>
        <w:rPr>
          <w:color w:val="000000"/>
          <w:highlight w:val="none"/>
        </w:rPr>
      </w:r>
      <w:r/>
    </w:p>
    <w:p>
      <w:pPr>
        <w:pStyle w:val="1113"/>
        <w:ind w:firstLine="480"/>
        <w:spacing w:line="460" w:lineRule="exact"/>
        <w:rPr>
          <w:color w:val="000000"/>
          <w:highlight w:val="none"/>
        </w:rPr>
        <w:outlineLvl w:val="9"/>
      </w:pP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                                            供应商：（加盖公章）</w:t>
      </w:r>
      <w:r>
        <w:rPr>
          <w:color w:val="000000"/>
          <w:highlight w:val="none"/>
        </w:rPr>
      </w:r>
      <w:r/>
    </w:p>
    <w:p>
      <w:pPr>
        <w:pStyle w:val="1113"/>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1113"/>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1094"/>
        <w:spacing w:line="360" w:lineRule="auto"/>
        <w:rPr>
          <w:rFonts w:hint="eastAsia"/>
          <w:color w:val="000000"/>
          <w:sz w:val="24"/>
          <w:highlight w:val="none"/>
        </w:rPr>
        <w:outlineLvl w:val="9"/>
      </w:pPr>
      <w:r>
        <w:rPr>
          <w:rFonts w:hint="eastAsia"/>
          <w:color w:val="000000"/>
          <w:sz w:val="24"/>
          <w:highlight w:val="none"/>
        </w:rPr>
      </w:r>
      <w:r/>
    </w:p>
    <w:p>
      <w:pPr>
        <w:pStyle w:val="1094"/>
        <w:spacing w:line="360" w:lineRule="auto"/>
        <w:rPr>
          <w:rFonts w:hint="eastAsia"/>
          <w:color w:val="000000"/>
          <w:sz w:val="24"/>
          <w:highlight w:val="none"/>
        </w:rPr>
        <w:outlineLvl w:val="9"/>
      </w:pPr>
      <w:r>
        <w:rPr>
          <w:rFonts w:hint="eastAsia"/>
          <w:color w:val="000000"/>
          <w:sz w:val="24"/>
          <w:highlight w:val="none"/>
        </w:rPr>
      </w:r>
      <w:r/>
    </w:p>
    <w:p>
      <w:pPr>
        <w:pStyle w:val="1094"/>
        <w:spacing w:line="360" w:lineRule="auto"/>
        <w:rPr>
          <w:rFonts w:hint="eastAsia"/>
          <w:color w:val="000000"/>
          <w:sz w:val="24"/>
          <w:highlight w:val="none"/>
        </w:rPr>
        <w:outlineLvl w:val="9"/>
      </w:pPr>
      <w:r>
        <w:rPr>
          <w:rFonts w:hint="eastAsia"/>
          <w:color w:val="000000"/>
          <w:sz w:val="24"/>
          <w:highlight w:val="none"/>
        </w:rPr>
      </w:r>
      <w:r/>
    </w:p>
    <w:p>
      <w:pPr>
        <w:pStyle w:val="1094"/>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94"/>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1094"/>
        <w:spacing w:line="360" w:lineRule="auto"/>
        <w:rPr>
          <w:color w:val="000000"/>
          <w:sz w:val="24"/>
          <w:szCs w:val="20"/>
          <w:highlight w:val="none"/>
        </w:rPr>
        <w:outlineLvl w:val="9"/>
      </w:pPr>
      <w:r/>
      <w:bookmarkStart w:id="613" w:name="_Toc150774762"/>
      <w:r/>
      <w:bookmarkStart w:id="614" w:name="_Toc195842922"/>
      <w:r/>
      <w:bookmarkStart w:id="615" w:name="_Toc520356218"/>
      <w:r/>
      <w:bookmarkStart w:id="616" w:name="_Toc226309801"/>
      <w:r/>
      <w:bookmarkStart w:id="617" w:name="_Toc150480795"/>
      <w:r/>
      <w:bookmarkStart w:id="618" w:name="_Toc265228395"/>
      <w:r/>
      <w:bookmarkStart w:id="619" w:name="_Ref467988705"/>
      <w:r/>
      <w:bookmarkStart w:id="620" w:name="_Toc305158899"/>
      <w:r/>
      <w:bookmarkStart w:id="621" w:name="_Toc127151557"/>
      <w:r/>
      <w:bookmarkStart w:id="622" w:name="_Toc264969247"/>
      <w:r/>
      <w:bookmarkStart w:id="623" w:name="_Toc305158825"/>
      <w:r/>
      <w:bookmarkStart w:id="624" w:name="_Toc480942350"/>
      <w:r/>
      <w:bookmarkStart w:id="625" w:name="_Toc226965830"/>
      <w:r/>
      <w:bookmarkStart w:id="626" w:name="_Toc226337253"/>
      <w:r/>
      <w:bookmarkStart w:id="627" w:name="_Toc142311059"/>
      <w:r/>
      <w:bookmarkStart w:id="628" w:name="_Toc226965747"/>
      <w:r>
        <w:rPr>
          <w:color w:val="000000"/>
          <w:sz w:val="24"/>
          <w:szCs w:val="20"/>
          <w:highlight w:val="none"/>
        </w:rPr>
        <w:t xml:space="preserve">2 落实政府采购政策需满足的资格要求</w:t>
      </w:r>
      <w:r>
        <w:rPr>
          <w:color w:val="000000"/>
          <w:sz w:val="24"/>
          <w:szCs w:val="20"/>
          <w:highlight w:val="none"/>
        </w:rPr>
      </w:r>
      <w:r/>
    </w:p>
    <w:p>
      <w:pPr>
        <w:pStyle w:val="1094"/>
        <w:spacing w:line="360" w:lineRule="auto"/>
        <w:rPr>
          <w:color w:val="000000"/>
          <w:sz w:val="24"/>
          <w:szCs w:val="20"/>
          <w:highlight w:val="none"/>
        </w:rPr>
        <w:outlineLvl w:val="9"/>
      </w:pPr>
      <w:r>
        <w:rPr>
          <w:color w:val="000000"/>
          <w:sz w:val="24"/>
          <w:szCs w:val="20"/>
          <w:highlight w:val="none"/>
        </w:rPr>
        <w:t xml:space="preserve">2-1 中小企业声明函</w:t>
      </w:r>
      <w:r>
        <w:rPr>
          <w:color w:val="000000"/>
          <w:sz w:val="24"/>
          <w:szCs w:val="20"/>
          <w:highlight w:val="none"/>
        </w:rPr>
      </w:r>
      <w:r/>
    </w:p>
    <w:p>
      <w:pPr>
        <w:pStyle w:val="1094"/>
        <w:spacing w:line="360" w:lineRule="auto"/>
        <w:tabs>
          <w:tab w:val="left" w:pos="5580" w:leader="none"/>
        </w:tabs>
        <w:rPr>
          <w:color w:val="000000"/>
          <w:sz w:val="24"/>
          <w:highlight w:val="none"/>
        </w:rPr>
        <w:outlineLvl w:val="9"/>
      </w:pPr>
      <w:r>
        <w:rPr>
          <w:color w:val="000000"/>
          <w:sz w:val="24"/>
          <w:highlight w:val="none"/>
        </w:rPr>
      </w:r>
      <w:r/>
    </w:p>
    <w:p>
      <w:pPr>
        <w:pStyle w:val="109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94"/>
        <w:spacing w:line="360" w:lineRule="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1094"/>
        <w:spacing w:line="360" w:lineRule="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1094"/>
        <w:spacing w:line="360" w:lineRule="auto"/>
        <w:tabs>
          <w:tab w:val="left" w:pos="5580" w:leader="none"/>
        </w:tabs>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3</w:t>
      </w:r>
      <w:r>
        <w:rPr>
          <w:rFonts w:hint="eastAsia"/>
          <w:color w:val="000000"/>
          <w:sz w:val="24"/>
          <w:highlight w:val="none"/>
          <w:lang w:eastAsia="zh-CN"/>
        </w:rPr>
        <w:t xml:space="preserve">）中小企业认定标准以《关于印发中小企业划型标准规定的通知》（工信部联企业〔2011〕300号）文件规定为准。</w:t>
      </w:r>
      <w:r>
        <w:rPr>
          <w:rFonts w:hint="eastAsia"/>
          <w:color w:val="000000"/>
          <w:sz w:val="24"/>
          <w:highlight w:val="none"/>
          <w:lang w:eastAsia="zh-CN"/>
        </w:rPr>
      </w:r>
      <w:r/>
    </w:p>
    <w:p>
      <w:pPr>
        <w:pStyle w:val="1094"/>
        <w:spacing w:line="360" w:lineRule="auto"/>
        <w:tabs>
          <w:tab w:val="left" w:pos="5580" w:leader="none"/>
        </w:tabs>
        <w:rPr>
          <w:rFonts w:hint="eastAsia"/>
          <w:color w:val="000000"/>
          <w:sz w:val="24"/>
          <w:highlight w:val="none"/>
        </w:rPr>
        <w:outlineLvl w:val="9"/>
      </w:pPr>
      <w:r>
        <w:rPr>
          <w:rFonts w:hint="eastAsia"/>
          <w:color w:val="000000"/>
          <w:sz w:val="24"/>
          <w:highlight w:val="none"/>
          <w:lang w:eastAsia="zh-CN"/>
        </w:rPr>
        <w:t xml:space="preserve">（</w:t>
      </w:r>
      <w:r>
        <w:rPr>
          <w:rFonts w:hint="eastAsia"/>
          <w:color w:val="000000"/>
          <w:sz w:val="24"/>
          <w:highlight w:val="none"/>
          <w:lang w:val="en-US" w:eastAsia="zh-CN"/>
        </w:rPr>
        <w:t xml:space="preserve">4</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1094"/>
        <w:spacing w:line="360" w:lineRule="auto"/>
        <w:tabs>
          <w:tab w:val="left" w:pos="5580" w:leader="none"/>
        </w:tabs>
        <w:rPr>
          <w:color w:val="000000"/>
          <w:sz w:val="24"/>
          <w:highlight w:val="none"/>
        </w:rPr>
        <w:outlineLvl w:val="9"/>
      </w:pPr>
      <w:r>
        <w:rPr>
          <w:color w:val="000000"/>
          <w:sz w:val="24"/>
          <w:highlight w:val="none"/>
        </w:rPr>
      </w:r>
      <w:r/>
    </w:p>
    <w:p>
      <w:pPr>
        <w:pStyle w:val="1094"/>
        <w:spacing w:line="360" w:lineRule="auto"/>
        <w:tabs>
          <w:tab w:val="left" w:pos="5580" w:leader="none"/>
        </w:tabs>
        <w:rPr>
          <w:color w:val="000000"/>
          <w:sz w:val="24"/>
          <w:highlight w:val="none"/>
        </w:rPr>
        <w:outlineLvl w:val="9"/>
      </w:pPr>
      <w:r>
        <w:rPr>
          <w:color w:val="000000"/>
          <w:sz w:val="24"/>
          <w:highlight w:val="none"/>
        </w:rPr>
      </w:r>
      <w:r/>
    </w:p>
    <w:p>
      <w:pPr>
        <w:pStyle w:val="1094"/>
        <w:jc w:val="center"/>
        <w:spacing w:before="240" w:after="240" w:line="360" w:lineRule="auto"/>
        <w:rPr>
          <w:rFonts w:ascii="方正小标宋简体" w:hAnsi="宋体" w:eastAsia="方正小标宋简体" w:cs="Times New Roman"/>
          <w:color w:val="000000"/>
          <w:sz w:val="44"/>
          <w:szCs w:val="44"/>
          <w:highlight w:val="none"/>
        </w:rPr>
        <w:outlineLvl w:val="9"/>
      </w:pPr>
      <w:r>
        <w:rPr>
          <w:color w:val="000000"/>
          <w:sz w:val="24"/>
          <w:highlight w:val="none"/>
        </w:rPr>
        <w:br w:type="page" w:clear="all"/>
      </w: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s="Times New Roman"/>
          <w:color w:val="000000"/>
          <w:sz w:val="44"/>
          <w:szCs w:val="44"/>
          <w:highlight w:val="none"/>
        </w:rPr>
      </w:r>
      <w:r/>
    </w:p>
    <w:p>
      <w:pPr>
        <w:pStyle w:val="1094"/>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1094"/>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1094"/>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94"/>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094"/>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1094"/>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94"/>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94"/>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94"/>
        <w:spacing w:line="570" w:lineRule="exact"/>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1094"/>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2.采购编号为②：填写本项目编号，如JSZC-3204XX-SYZB-C20XX-XX。</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u w:val="none"/>
          <w:lang w:val="en-US" w:eastAsia="zh-CN"/>
        </w:rPr>
        <w:t xml:space="preserve">XX服务等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109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362"/>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094"/>
        <w:ind w:right="1560" w:firstLine="480"/>
        <w:jc w:val="center"/>
        <w:spacing w:line="588" w:lineRule="exact"/>
        <w:tabs>
          <w:tab w:val="left" w:pos="4860" w:leader="none"/>
        </w:tabs>
        <w:rPr>
          <w:color w:val="000000"/>
          <w:spacing w:val="6"/>
          <w:sz w:val="24"/>
          <w:highlight w:val="none"/>
        </w:rPr>
        <w:outlineLvl w:val="9"/>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spacing w:val="6"/>
          <w:sz w:val="24"/>
          <w:highlight w:val="none"/>
        </w:rPr>
      </w:r>
      <w:r/>
    </w:p>
    <w:p>
      <w:pPr>
        <w:pStyle w:val="1094"/>
        <w:jc w:val="center"/>
        <w:rPr>
          <w:b/>
          <w:color w:val="000000"/>
          <w:sz w:val="36"/>
          <w:szCs w:val="36"/>
          <w:highlight w:val="none"/>
        </w:rPr>
        <w:outlineLvl w:val="9"/>
      </w:pPr>
      <w:r>
        <w:rPr>
          <w:color w:val="000000"/>
          <w:sz w:val="24"/>
          <w:szCs w:val="20"/>
          <w:highlight w:val="none"/>
        </w:rPr>
        <w:br w:type="page" w:clear="all"/>
      </w: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94"/>
        <w:jc w:val="center"/>
        <w:rPr>
          <w:color w:val="000000"/>
          <w:sz w:val="36"/>
          <w:szCs w:val="36"/>
          <w:highlight w:val="none"/>
        </w:rPr>
        <w:outlineLvl w:val="9"/>
      </w:pPr>
      <w:r>
        <w:rPr>
          <w:color w:val="000000"/>
          <w:sz w:val="36"/>
          <w:szCs w:val="36"/>
          <w:highlight w:val="none"/>
        </w:rPr>
      </w:r>
      <w:r/>
    </w:p>
    <w:p>
      <w:pPr>
        <w:pStyle w:val="1094"/>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94"/>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94"/>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lang w:eastAsia="zh-CN"/>
        </w:rPr>
        <w:t xml:space="preserve">，</w:t>
      </w:r>
      <w:r>
        <w:rPr>
          <w:color w:val="000000"/>
          <w:spacing w:val="6"/>
          <w:sz w:val="24"/>
          <w:highlight w:val="none"/>
        </w:rPr>
        <w:t xml:space="preserve">由本单位提供服务。</w:t>
      </w:r>
      <w:r>
        <w:rPr>
          <w:color w:val="000000"/>
          <w:spacing w:val="6"/>
          <w:sz w:val="24"/>
          <w:highlight w:val="none"/>
        </w:rPr>
      </w:r>
      <w:r/>
    </w:p>
    <w:p>
      <w:pPr>
        <w:pStyle w:val="1094"/>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94"/>
        <w:ind w:firstLine="504"/>
        <w:spacing w:line="588" w:lineRule="exact"/>
        <w:rPr>
          <w:color w:val="000000"/>
          <w:spacing w:val="6"/>
          <w:sz w:val="24"/>
          <w:highlight w:val="none"/>
        </w:rPr>
        <w:outlineLvl w:val="9"/>
      </w:pPr>
      <w:r>
        <w:rPr>
          <w:color w:val="000000"/>
          <w:spacing w:val="6"/>
          <w:sz w:val="24"/>
          <w:highlight w:val="none"/>
        </w:rPr>
      </w:r>
      <w:r/>
    </w:p>
    <w:p>
      <w:pPr>
        <w:pStyle w:val="1094"/>
        <w:ind w:firstLine="504"/>
        <w:spacing w:line="588" w:lineRule="exact"/>
        <w:rPr>
          <w:color w:val="000000"/>
          <w:spacing w:val="6"/>
          <w:sz w:val="24"/>
          <w:highlight w:val="none"/>
        </w:rPr>
        <w:outlineLvl w:val="9"/>
      </w:pPr>
      <w:r>
        <w:rPr>
          <w:color w:val="000000"/>
          <w:spacing w:val="6"/>
          <w:sz w:val="24"/>
          <w:highlight w:val="none"/>
        </w:rPr>
      </w:r>
      <w:r/>
    </w:p>
    <w:p>
      <w:pPr>
        <w:pStyle w:val="1094"/>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单位名称（盖章）：</w:t>
      </w:r>
      <w:r>
        <w:rPr>
          <w:color w:val="000000"/>
          <w:spacing w:val="6"/>
          <w:sz w:val="24"/>
          <w:highlight w:val="none"/>
        </w:rPr>
      </w:r>
      <w:r/>
    </w:p>
    <w:p>
      <w:pPr>
        <w:pStyle w:val="1094"/>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w:t>
      </w:r>
      <w:r>
        <w:rPr>
          <w:rFonts w:hint="eastAsia"/>
          <w:color w:val="000000"/>
          <w:spacing w:val="6"/>
          <w:sz w:val="24"/>
          <w:highlight w:val="none"/>
          <w:lang w:val="en-US" w:eastAsia="zh-CN"/>
        </w:rPr>
        <w:t xml:space="preserve">                      </w:t>
      </w:r>
      <w:r>
        <w:rPr>
          <w:color w:val="000000"/>
          <w:spacing w:val="6"/>
          <w:sz w:val="24"/>
          <w:highlight w:val="none"/>
        </w:rPr>
        <w:t xml:space="preserve">日  期：</w:t>
      </w:r>
      <w:r>
        <w:rPr>
          <w:color w:val="000000"/>
          <w:spacing w:val="6"/>
          <w:sz w:val="24"/>
          <w:highlight w:val="none"/>
        </w:rPr>
      </w:r>
      <w:r/>
    </w:p>
    <w:p>
      <w:pPr>
        <w:pStyle w:val="1094"/>
        <w:spacing w:line="360" w:lineRule="auto"/>
        <w:rPr>
          <w:color w:val="000000"/>
          <w:sz w:val="24"/>
          <w:highlight w:val="none"/>
        </w:rPr>
        <w:outlineLvl w:val="2"/>
      </w:pPr>
      <w:r>
        <w:rPr>
          <w:color w:val="000000"/>
          <w:sz w:val="24"/>
          <w:szCs w:val="20"/>
          <w:highlight w:val="none"/>
        </w:rPr>
        <w:br w:type="page" w:clear="all"/>
      </w:r>
      <w:r>
        <w:rPr>
          <w:color w:val="000000"/>
          <w:sz w:val="24"/>
          <w:szCs w:val="20"/>
          <w:highlight w:val="none"/>
        </w:rPr>
        <w:t xml:space="preserve">3 </w:t>
      </w:r>
      <w:r>
        <w:rPr>
          <w:color w:val="000000"/>
          <w:sz w:val="24"/>
          <w:highlight w:val="none"/>
        </w:rPr>
        <w:t xml:space="preserve">本项目的特定资格要求</w:t>
      </w:r>
      <w:r>
        <w:rPr>
          <w:color w:val="000000"/>
          <w:sz w:val="24"/>
          <w:highlight w:val="none"/>
        </w:rPr>
      </w:r>
      <w:r/>
    </w:p>
    <w:p>
      <w:pPr>
        <w:pStyle w:val="1094"/>
        <w:jc w:val="left"/>
        <w:spacing w:line="360" w:lineRule="auto"/>
        <w:widowControl/>
        <w:rPr>
          <w:color w:val="000000"/>
          <w:sz w:val="24"/>
          <w:szCs w:val="20"/>
          <w:highlight w:val="none"/>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其他特定资格要求</w:t>
      </w:r>
      <w:r>
        <w:rPr>
          <w:color w:val="000000"/>
          <w:sz w:val="24"/>
          <w:szCs w:val="20"/>
          <w:highlight w:val="none"/>
        </w:rPr>
      </w:r>
      <w:r/>
    </w:p>
    <w:p>
      <w:pPr>
        <w:pStyle w:val="1094"/>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r>
      <w:r/>
    </w:p>
    <w:p>
      <w:pPr>
        <w:pStyle w:val="1094"/>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highlight w:val="none"/>
          <w:lang w:val="en-US" w:eastAsia="zh-CN"/>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r>
      <w:r/>
    </w:p>
    <w:p>
      <w:pPr>
        <w:pStyle w:val="1094"/>
        <w:jc w:val="center"/>
        <w:spacing w:line="360" w:lineRule="auto"/>
        <w:rPr>
          <w:b/>
          <w:color w:val="000000"/>
          <w:sz w:val="36"/>
          <w:szCs w:val="36"/>
          <w:highlight w:val="none"/>
        </w:rPr>
        <w:outlineLvl w:val="9"/>
      </w:pPr>
      <w:r>
        <w:rPr>
          <w:rFonts w:hint="eastAsia"/>
          <w:b/>
          <w:color w:val="000000"/>
          <w:sz w:val="36"/>
          <w:szCs w:val="36"/>
          <w:highlight w:val="none"/>
        </w:rPr>
        <w:t xml:space="preserve">响应函</w:t>
      </w:r>
      <w:r>
        <w:rPr>
          <w:b/>
          <w:color w:val="000000"/>
          <w:sz w:val="36"/>
          <w:szCs w:val="36"/>
          <w:highlight w:val="none"/>
        </w:rPr>
      </w:r>
      <w:r/>
    </w:p>
    <w:p>
      <w:pPr>
        <w:pStyle w:val="1094"/>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94"/>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094"/>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94"/>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94"/>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lang w:eastAsia="zh-CN"/>
        </w:rPr>
        <w:t xml:space="preserve">天</w:t>
      </w:r>
      <w:r>
        <w:rPr>
          <w:color w:val="000000"/>
          <w:sz w:val="24"/>
          <w:szCs w:val="20"/>
          <w:highlight w:val="none"/>
        </w:rPr>
        <w:t xml:space="preserve">。</w:t>
      </w:r>
      <w:r>
        <w:rPr>
          <w:color w:val="000000"/>
          <w:sz w:val="24"/>
          <w:szCs w:val="20"/>
          <w:highlight w:val="none"/>
        </w:rPr>
      </w:r>
      <w:r/>
    </w:p>
    <w:p>
      <w:pPr>
        <w:pStyle w:val="1094"/>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94"/>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94"/>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w:t>
      </w:r>
      <w:r>
        <w:rPr>
          <w:rFonts w:hint="eastAsia"/>
          <w:color w:val="000000"/>
          <w:sz w:val="24"/>
          <w:szCs w:val="20"/>
          <w:highlight w:val="none"/>
          <w:lang w:val="en-US" w:eastAsia="zh-CN"/>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1094"/>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94"/>
        <w:ind w:firstLine="480"/>
        <w:spacing w:line="360" w:lineRule="auto"/>
        <w:rPr>
          <w:color w:val="000000"/>
          <w:sz w:val="24"/>
          <w:highlight w:val="none"/>
        </w:rPr>
        <w:outlineLvl w:val="9"/>
      </w:pPr>
      <w:r>
        <w:rPr>
          <w:color w:val="000000"/>
          <w:sz w:val="24"/>
          <w:highlight w:val="none"/>
        </w:rPr>
        <w:t xml:space="preserve">与本响应有关的一切正式往来信函请寄：</w:t>
      </w:r>
      <w:r>
        <w:rPr>
          <w:color w:val="000000"/>
          <w:sz w:val="24"/>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供应商名称（加盖公章） ___________</w:t>
      </w:r>
      <w:r>
        <w:rPr>
          <w:color w:val="000000"/>
          <w:sz w:val="24"/>
          <w:szCs w:val="20"/>
          <w:highlight w:val="none"/>
        </w:rPr>
      </w:r>
      <w:r/>
    </w:p>
    <w:p>
      <w:pPr>
        <w:pStyle w:val="1094"/>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1094"/>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1094"/>
        <w:jc w:val="left"/>
        <w:widowControl/>
        <w:rPr>
          <w:rFonts w:hint="eastAsia" w:eastAsia="宋体"/>
          <w:color w:val="000000"/>
          <w:sz w:val="24"/>
          <w:highlight w:val="none"/>
          <w:lang w:val="en-US" w:eastAsia="zh-CN"/>
        </w:rPr>
        <w:outlineLvl w:val="9"/>
      </w:pPr>
      <w:r/>
      <w:bookmarkStart w:id="629" w:name="_Hlt520356243"/>
      <w:r/>
      <w:bookmarkEnd w:id="629"/>
      <w:r/>
      <w:bookmarkStart w:id="630" w:name="_Hlt520355938"/>
      <w:r/>
      <w:bookmarkEnd w:id="630"/>
      <w:r>
        <w:rPr>
          <w:color w:val="000000"/>
          <w:sz w:val="24"/>
          <w:highlight w:val="none"/>
        </w:rPr>
        <w:br w:type="page" w:clear="all"/>
      </w:r>
      <w:r>
        <w:rPr>
          <w:rFonts w:hint="eastAsia"/>
          <w:color w:val="000000"/>
          <w:sz w:val="24"/>
          <w:highlight w:val="none"/>
          <w:lang w:val="en-US" w:eastAsia="zh-CN"/>
        </w:rPr>
        <w:t xml:space="preserve">5</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szCs w:val="20"/>
          <w:highlight w:val="none"/>
          <w:lang w:val="en-US" w:eastAsia="zh-CN"/>
        </w:rPr>
        <w:t xml:space="preserve"> </w:t>
      </w:r>
      <w:r>
        <w:rPr>
          <w:rFonts w:hint="eastAsia" w:eastAsia="宋体"/>
          <w:color w:val="000000"/>
          <w:sz w:val="24"/>
          <w:highlight w:val="none"/>
          <w:lang w:val="en-US" w:eastAsia="zh-CN"/>
        </w:rPr>
      </w:r>
      <w:r/>
    </w:p>
    <w:p>
      <w:pPr>
        <w:pStyle w:val="1094"/>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1094"/>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94"/>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单位名称</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94"/>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地址</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94"/>
        <w:spacing w:line="560" w:lineRule="exact"/>
        <w:rPr>
          <w:rFonts w:hint="eastAsia" w:ascii="宋体" w:hAnsi="宋体" w:eastAsia="宋体"/>
          <w:color w:val="000000"/>
          <w:sz w:val="24"/>
          <w:highlight w:val="none"/>
          <w:lang w:eastAsia="zh-CN"/>
        </w:rPr>
        <w:outlineLvl w:val="9"/>
      </w:pPr>
      <w:r>
        <w:rPr>
          <w:rFonts w:hint="eastAsia" w:ascii="宋体" w:hAnsi="宋体"/>
          <w:color w:val="000000"/>
          <w:sz w:val="24"/>
          <w:highlight w:val="none"/>
        </w:rPr>
        <w:t xml:space="preserve">姓名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性别</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年龄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职务</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94"/>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供应商</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磋商响应</w:t>
      </w:r>
      <w:r>
        <w:rPr>
          <w:rFonts w:hint="eastAsia" w:ascii="宋体" w:hAnsi="宋体"/>
          <w:color w:val="000000"/>
          <w:sz w:val="24"/>
          <w:highlight w:val="none"/>
        </w:rPr>
        <w:t xml:space="preserve">文件、进行合同谈判、签署合同和处理与之有关的一切事务。</w:t>
      </w:r>
      <w:r>
        <w:rPr>
          <w:rFonts w:ascii="宋体" w:hAnsi="宋体"/>
          <w:color w:val="000000"/>
          <w:sz w:val="24"/>
          <w:highlight w:val="none"/>
        </w:rPr>
      </w:r>
      <w:r/>
    </w:p>
    <w:p>
      <w:pPr>
        <w:pStyle w:val="1094"/>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94"/>
        <w:spacing w:line="560" w:lineRule="exact"/>
        <w:rPr>
          <w:rFonts w:ascii="宋体" w:hAnsi="宋体"/>
          <w:color w:val="000000"/>
          <w:sz w:val="24"/>
          <w:highlight w:val="none"/>
        </w:rPr>
        <w:outlineLvl w:val="9"/>
      </w:pPr>
      <w:r>
        <w:rPr>
          <w:rFonts w:ascii="宋体" w:hAnsi="宋体"/>
          <w:color w:val="000000"/>
          <w:sz w:val="24"/>
          <w:highlight w:val="none"/>
        </w:rPr>
      </w:r>
      <w:r/>
    </w:p>
    <w:p>
      <w:pPr>
        <w:pStyle w:val="1131"/>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1094"/>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1094"/>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：（加盖公章）</w:t>
      </w:r>
      <w:r>
        <w:rPr>
          <w:rFonts w:ascii="宋体" w:hAnsi="宋体"/>
          <w:color w:val="000000"/>
          <w:sz w:val="24"/>
          <w:highlight w:val="none"/>
        </w:rPr>
      </w:r>
      <w:r/>
    </w:p>
    <w:p>
      <w:pPr>
        <w:pStyle w:val="1094"/>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94"/>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94"/>
        <w:jc w:val="left"/>
        <w:widowControl/>
        <w:rPr>
          <w:rFonts w:hint="eastAsia"/>
          <w:color w:val="000000"/>
          <w:sz w:val="24"/>
          <w:highlight w:val="none"/>
        </w:rPr>
        <w:outlineLvl w:val="9"/>
      </w:pPr>
      <w:r>
        <w:rPr>
          <w:rFonts w:hint="eastAsia"/>
          <w:color w:val="000000"/>
          <w:sz w:val="24"/>
          <w:highlight w:val="none"/>
        </w:rPr>
      </w:r>
      <w:r/>
    </w:p>
    <w:p>
      <w:pPr>
        <w:pStyle w:val="1094"/>
        <w:jc w:val="left"/>
        <w:widowControl/>
        <w:rPr>
          <w:rFonts w:hint="eastAsia"/>
          <w:color w:val="000000"/>
          <w:sz w:val="24"/>
          <w:highlight w:val="none"/>
        </w:rPr>
        <w:outlineLvl w:val="9"/>
      </w:pPr>
      <w:r>
        <w:rPr>
          <w:rFonts w:hint="eastAsia"/>
          <w:color w:val="000000"/>
          <w:sz w:val="24"/>
          <w:highlight w:val="none"/>
        </w:rPr>
      </w:r>
      <w:r/>
    </w:p>
    <w:p>
      <w:pPr>
        <w:pStyle w:val="1094"/>
        <w:jc w:val="left"/>
        <w:widowControl/>
        <w:rPr>
          <w:rFonts w:hint="eastAsia"/>
          <w:color w:val="000000"/>
          <w:sz w:val="24"/>
          <w:highlight w:val="none"/>
        </w:rPr>
        <w:outlineLvl w:val="9"/>
      </w:pPr>
      <w:r>
        <w:rPr>
          <w:rFonts w:hint="eastAsia"/>
          <w:color w:val="000000"/>
          <w:sz w:val="24"/>
          <w:highlight w:val="none"/>
        </w:rPr>
      </w:r>
      <w:r/>
    </w:p>
    <w:p>
      <w:pPr>
        <w:pStyle w:val="1094"/>
        <w:jc w:val="left"/>
        <w:spacing w:line="360" w:lineRule="auto"/>
        <w:tabs>
          <w:tab w:val="left" w:pos="5580" w:leader="none"/>
        </w:tabs>
        <w:rPr>
          <w:rFonts w:ascii="宋体" w:hAnsi="宋体"/>
          <w:color w:val="000000"/>
          <w:sz w:val="24"/>
          <w:szCs w:val="20"/>
          <w:highlight w:val="none"/>
        </w:rPr>
        <w:outlineLvl w:val="9"/>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94"/>
        <w:jc w:val="left"/>
        <w:spacing w:line="360" w:lineRule="auto"/>
        <w:tabs>
          <w:tab w:val="left" w:pos="5580" w:leader="none"/>
        </w:tabs>
        <w:rPr>
          <w:rFonts w:hint="eastAsia" w:ascii="宋体" w:hAnsi="宋体"/>
          <w:color w:val="000000"/>
          <w:sz w:val="24"/>
          <w:szCs w:val="20"/>
          <w:highlight w:val="none"/>
        </w:rPr>
        <w:outlineLvl w:val="9"/>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lang w:eastAsia="zh-CN"/>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lang w:eastAsia="zh-CN"/>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131"/>
        <w:tabs>
          <w:tab w:val="left" w:pos="567" w:leader="none"/>
        </w:tabs>
        <w:rPr>
          <w:color w:val="000000"/>
          <w:highlight w:val="none"/>
        </w:rPr>
        <w:outlineLvl w:val="9"/>
      </w:pPr>
      <w:r>
        <w:rPr>
          <w:color w:val="000000"/>
          <w:highlight w:val="none"/>
        </w:rPr>
      </w:r>
      <w:r/>
    </w:p>
    <w:p>
      <w:pPr>
        <w:pStyle w:val="1094"/>
        <w:jc w:val="left"/>
        <w:widowControl/>
        <w:rPr>
          <w:rFonts w:hint="eastAsia"/>
          <w:color w:val="000000"/>
          <w:sz w:val="24"/>
          <w:highlight w:val="none"/>
        </w:rPr>
        <w:outlineLvl w:val="9"/>
      </w:pPr>
      <w:r>
        <w:rPr>
          <w:rFonts w:hint="eastAsia"/>
          <w:color w:val="000000"/>
          <w:sz w:val="24"/>
          <w:highlight w:val="none"/>
        </w:rPr>
      </w:r>
      <w:r/>
    </w:p>
    <w:p>
      <w:pPr>
        <w:pStyle w:val="1094"/>
        <w:jc w:val="left"/>
        <w:widowControl/>
        <w:rPr>
          <w:rFonts w:hint="eastAsia"/>
          <w:color w:val="000000"/>
          <w:sz w:val="24"/>
          <w:highlight w:val="none"/>
          <w:lang w:val="en-US" w:eastAsia="zh-CN"/>
        </w:rPr>
        <w:outlineLvl w:val="9"/>
      </w:pPr>
      <w:r>
        <w:rPr>
          <w:rFonts w:hint="eastAsia"/>
          <w:color w:val="000000"/>
          <w:sz w:val="24"/>
          <w:highlight w:val="none"/>
          <w:lang w:val="en-US" w:eastAsia="zh-CN"/>
        </w:rPr>
      </w:r>
      <w:r/>
    </w:p>
    <w:p>
      <w:pPr>
        <w:pStyle w:val="1094"/>
        <w:jc w:val="left"/>
        <w:widowControl/>
        <w:rPr>
          <w:rFonts w:hint="eastAsia" w:eastAsia="宋体"/>
          <w:color w:val="000000"/>
          <w:sz w:val="24"/>
          <w:highlight w:val="none"/>
          <w:lang w:eastAsia="zh-CN"/>
        </w:rPr>
        <w:outlineLvl w:val="9"/>
      </w:pPr>
      <w:r>
        <w:rPr>
          <w:color w:val="000000"/>
          <w:sz w:val="24"/>
          <w:highlight w:val="none"/>
        </w:rPr>
        <w:br w:type="page" w:clear="all"/>
      </w:r>
      <w:r>
        <w:rPr>
          <w:rFonts w:hint="eastAsia"/>
          <w:color w:val="000000"/>
          <w:sz w:val="24"/>
          <w:highlight w:val="none"/>
          <w:lang w:val="en-US" w:eastAsia="zh-CN"/>
        </w:rPr>
        <w:t xml:space="preserve">6</w:t>
      </w:r>
      <w:r>
        <w:rPr>
          <w:rFonts w:hint="eastAsia"/>
          <w:color w:val="000000"/>
          <w:sz w:val="24"/>
          <w:highlight w:val="none"/>
        </w:rPr>
        <w:t xml:space="preserve"> 政府采购供应商信用承诺书</w:t>
      </w:r>
      <w:r>
        <w:rPr>
          <w:rFonts w:hint="eastAsia"/>
          <w:color w:val="000000"/>
          <w:sz w:val="24"/>
          <w:szCs w:val="20"/>
          <w:highlight w:val="none"/>
          <w:lang w:val="en-US" w:eastAsia="zh-CN"/>
        </w:rPr>
        <w:t xml:space="preserve"> </w:t>
      </w:r>
      <w:r>
        <w:rPr>
          <w:rFonts w:hint="eastAsia" w:eastAsia="宋体"/>
          <w:color w:val="000000"/>
          <w:sz w:val="24"/>
          <w:highlight w:val="none"/>
          <w:lang w:eastAsia="zh-CN"/>
        </w:rPr>
      </w:r>
      <w:r/>
    </w:p>
    <w:p>
      <w:pPr>
        <w:pStyle w:val="1094"/>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1094"/>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94"/>
        <w:ind w:firstLine="640"/>
        <w:rPr>
          <w:color w:val="000000"/>
          <w:highlight w:val="none"/>
        </w:rPr>
        <w:outlineLvl w:val="9"/>
      </w:pPr>
      <w:r>
        <w:rPr>
          <w:color w:val="000000"/>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94"/>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99"/>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1094"/>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094"/>
        <w:spacing w:line="360" w:lineRule="auto"/>
        <w:rPr>
          <w:color w:val="000000"/>
          <w:sz w:val="24"/>
          <w:szCs w:val="20"/>
          <w:highlight w:val="none"/>
        </w:rPr>
        <w:outlineLvl w:val="9"/>
      </w:pPr>
      <w:r>
        <w:rPr>
          <w:color w:val="000000"/>
          <w:sz w:val="24"/>
          <w:szCs w:val="20"/>
          <w:highlight w:val="none"/>
        </w:rPr>
        <w:br w:type="page" w:clear="all"/>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31" w:name="_Toc142311061"/>
      <w:r/>
      <w:bookmarkStart w:id="632" w:name="_Toc264969252"/>
      <w:r/>
      <w:bookmarkStart w:id="633" w:name="_Toc150774764"/>
      <w:r/>
      <w:bookmarkStart w:id="634" w:name="_Toc226965751"/>
      <w:r/>
      <w:bookmarkStart w:id="635" w:name="_Toc150480797"/>
      <w:r/>
      <w:bookmarkStart w:id="636" w:name="_Toc265228399"/>
      <w:r/>
      <w:bookmarkStart w:id="637" w:name="_Toc305158903"/>
      <w:r/>
      <w:bookmarkStart w:id="638" w:name="_Toc127151561"/>
      <w:r/>
      <w:bookmarkStart w:id="639" w:name="_Toc305158829"/>
      <w:r/>
      <w:bookmarkStart w:id="640" w:name="_Toc226965835"/>
      <w:r/>
      <w:bookmarkStart w:id="641" w:name="_Toc265228400"/>
      <w:r/>
      <w:bookmarkStart w:id="642" w:name="_Toc226965752"/>
      <w:r/>
      <w:bookmarkStart w:id="643" w:name="_Toc142311062"/>
      <w:r/>
      <w:bookmarkStart w:id="644" w:name="_Toc150480798"/>
      <w:r/>
      <w:bookmarkStart w:id="645" w:name="_Toc226337258"/>
      <w:r/>
      <w:bookmarkStart w:id="646" w:name="_Toc195842927"/>
      <w:r/>
      <w:bookmarkStart w:id="647" w:name="_Toc127151562"/>
      <w:r/>
      <w:bookmarkStart w:id="648" w:name="_Toc150774765"/>
      <w:r/>
      <w:bookmarkStart w:id="649" w:name="_Toc226309806"/>
      <w:r/>
      <w:bookmarkStart w:id="650" w:name="_Toc305158904"/>
      <w:r/>
      <w:bookmarkStart w:id="651" w:name="_Toc305158830"/>
      <w:r/>
      <w:bookmarkStart w:id="652" w:name="_Toc226309805"/>
      <w:r/>
      <w:bookmarkStart w:id="653" w:name="_Toc226965834"/>
      <w:r/>
      <w:bookmarkStart w:id="654" w:name="_Toc264969251"/>
      <w:r/>
      <w:bookmarkStart w:id="655" w:name="_Toc226337257"/>
      <w:r/>
      <w:bookmarkStart w:id="656" w:name="_Toc195842926"/>
      <w:r>
        <w:rPr>
          <w:rFonts w:hint="eastAsia"/>
          <w:color w:val="000000"/>
          <w:sz w:val="24"/>
          <w:szCs w:val="20"/>
          <w:highlight w:val="none"/>
          <w:lang w:val="en-US" w:eastAsia="zh-CN"/>
        </w:rPr>
        <w:t xml:space="preserve">7</w:t>
      </w:r>
      <w:r>
        <w:rPr>
          <w:color w:val="000000"/>
          <w:sz w:val="24"/>
          <w:szCs w:val="20"/>
          <w:highlight w:val="none"/>
        </w:rPr>
        <w:t xml:space="preserve">  报价一览表</w:t>
      </w:r>
      <w:r>
        <w:rPr>
          <w:color w:val="000000"/>
          <w:sz w:val="24"/>
          <w:szCs w:val="20"/>
          <w:highlight w:val="none"/>
        </w:rPr>
      </w:r>
      <w:r/>
    </w:p>
    <w:p>
      <w:pPr>
        <w:pStyle w:val="1094"/>
        <w:jc w:val="center"/>
        <w:rPr>
          <w:b/>
          <w:color w:val="000000"/>
          <w:sz w:val="36"/>
          <w:szCs w:val="36"/>
          <w:highlight w:val="none"/>
        </w:rPr>
        <w:outlineLvl w:val="9"/>
      </w:pPr>
      <w:r/>
      <w:bookmarkStart w:id="657" w:name="_Toc164608827"/>
      <w:r/>
      <w:bookmarkStart w:id="658" w:name="_Toc164608672"/>
      <w:r/>
      <w:bookmarkStart w:id="659" w:name="_Toc195842923"/>
      <w:r/>
      <w:bookmarkStart w:id="660" w:name="_Toc264969248"/>
      <w:r/>
      <w:bookmarkStart w:id="661" w:name="_Toc265228396"/>
      <w:r/>
      <w:bookmarkStart w:id="662" w:name="_Toc226965831"/>
      <w:r/>
      <w:bookmarkStart w:id="663" w:name="_Toc305158826"/>
      <w:r/>
      <w:bookmarkStart w:id="664" w:name="_Toc226309802"/>
      <w:r/>
      <w:bookmarkStart w:id="665" w:name="_Toc305158900"/>
      <w:r/>
      <w:bookmarkStart w:id="666" w:name="_Toc226965748"/>
      <w:r/>
      <w:bookmarkStart w:id="667" w:name="_Toc226337254"/>
      <w:r>
        <w:rPr>
          <w:rFonts w:hint="eastAsia"/>
          <w:b/>
          <w:color w:val="000000"/>
          <w:sz w:val="36"/>
          <w:szCs w:val="36"/>
          <w:highlight w:val="none"/>
        </w:rPr>
        <w:t xml:space="preserve">报价一览表</w:t>
      </w:r>
      <w:bookmarkEnd w:id="657"/>
      <w:r/>
      <w:bookmarkEnd w:id="658"/>
      <w:r/>
      <w:bookmarkEnd w:id="659"/>
      <w:r/>
      <w:bookmarkEnd w:id="660"/>
      <w:r/>
      <w:bookmarkEnd w:id="661"/>
      <w:r/>
      <w:bookmarkEnd w:id="662"/>
      <w:r/>
      <w:bookmarkEnd w:id="663"/>
      <w:r/>
      <w:bookmarkEnd w:id="664"/>
      <w:r/>
      <w:bookmarkEnd w:id="665"/>
      <w:r/>
      <w:bookmarkEnd w:id="666"/>
      <w:r/>
      <w:bookmarkEnd w:id="667"/>
      <w:r>
        <w:rPr>
          <w:rFonts w:hint="eastAsia"/>
          <w:b/>
          <w:color w:val="000000"/>
          <w:sz w:val="36"/>
          <w:szCs w:val="36"/>
          <w:highlight w:val="none"/>
          <w:lang w:eastAsia="zh-CN"/>
        </w:rPr>
        <w:t xml:space="preserve">（</w:t>
      </w:r>
      <w:r>
        <w:rPr>
          <w:rFonts w:hint="eastAsia"/>
          <w:b/>
          <w:color w:val="000000"/>
          <w:sz w:val="36"/>
          <w:szCs w:val="36"/>
          <w:highlight w:val="none"/>
          <w:u w:val="single"/>
          <w:lang w:val="en-US" w:eastAsia="zh-CN"/>
        </w:rPr>
        <w:t xml:space="preserve">     </w:t>
      </w:r>
      <w:r>
        <w:rPr>
          <w:rFonts w:hint="eastAsia"/>
          <w:b/>
          <w:color w:val="000000"/>
          <w:sz w:val="36"/>
          <w:szCs w:val="36"/>
          <w:highlight w:val="none"/>
          <w:lang w:val="en-US" w:eastAsia="zh-CN"/>
        </w:rPr>
        <w:t xml:space="preserve">包</w:t>
      </w:r>
      <w:r>
        <w:rPr>
          <w:rFonts w:hint="eastAsia"/>
          <w:b/>
          <w:color w:val="000000"/>
          <w:sz w:val="36"/>
          <w:szCs w:val="36"/>
          <w:highlight w:val="none"/>
          <w:lang w:eastAsia="zh-CN"/>
        </w:rPr>
        <w:t xml:space="preserve">）</w:t>
      </w:r>
      <w:r>
        <w:rPr>
          <w:b/>
          <w:color w:val="000000"/>
          <w:sz w:val="36"/>
          <w:szCs w:val="36"/>
          <w:highlight w:val="none"/>
        </w:rPr>
      </w:r>
      <w:r/>
    </w:p>
    <w:p>
      <w:pPr>
        <w:pStyle w:val="1094"/>
        <w:jc w:val="left"/>
        <w:spacing w:line="360" w:lineRule="auto"/>
        <w:tabs>
          <w:tab w:val="left" w:pos="1800" w:leader="none"/>
          <w:tab w:val="left" w:pos="5580" w:leader="none"/>
        </w:tabs>
        <w:rPr>
          <w:color w:val="000000"/>
          <w:sz w:val="24"/>
          <w:highlight w:val="none"/>
        </w:rPr>
        <w:outlineLvl w:val="9"/>
      </w:pPr>
      <w:r>
        <w:rPr>
          <w:color w:val="000000"/>
          <w:sz w:val="24"/>
          <w:highlight w:val="none"/>
        </w:rPr>
      </w:r>
      <w:r/>
    </w:p>
    <w:p>
      <w:pPr>
        <w:pStyle w:val="1094"/>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项目名称：_______________________</w:t>
      </w:r>
      <w:r>
        <w:rPr>
          <w:color w:val="000000"/>
          <w:sz w:val="24"/>
          <w:highlight w:val="none"/>
        </w:rPr>
      </w:r>
      <w:r/>
    </w:p>
    <w:p>
      <w:pPr>
        <w:pStyle w:val="1094"/>
        <w:ind w:firstLine="240"/>
        <w:jc w:val="right"/>
        <w:spacing w:line="360" w:lineRule="auto"/>
        <w:tabs>
          <w:tab w:val="left" w:pos="1800" w:leader="none"/>
          <w:tab w:val="left" w:pos="5580" w:leader="none"/>
        </w:tabs>
        <w:rPr>
          <w:rFonts w:hint="eastAsia" w:eastAsia="宋体"/>
          <w:color w:val="000000"/>
          <w:sz w:val="24"/>
          <w:highlight w:val="none"/>
          <w:lang w:val="en-US" w:eastAsia="zh-CN"/>
        </w:rPr>
      </w:pPr>
      <w:r>
        <w:rPr>
          <w:rFonts w:hint="eastAsia"/>
          <w:color w:val="000000"/>
          <w:sz w:val="24"/>
          <w:highlight w:val="none"/>
        </w:rPr>
        <w:t xml:space="preserve">单位：人民币</w:t>
      </w:r>
      <w:r>
        <w:rPr>
          <w:rFonts w:hint="eastAsia" w:eastAsia="宋体"/>
          <w:color w:val="000000"/>
          <w:sz w:val="24"/>
          <w:highlight w:val="none"/>
          <w:lang w:val="en-US"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trHeight w:val="531"/>
        </w:trPr>
        <w:tc>
          <w:tcPr>
            <w:tcW w:w="902" w:type="dxa"/>
            <w:vAlign w:val="center"/>
            <w:vMerge w:val="restart"/>
            <w:textDirection w:val="lrTb"/>
            <w:noWrap w:val="false"/>
          </w:tcPr>
          <w:p>
            <w:pPr>
              <w:pStyle w:val="1094"/>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561" w:type="dxa"/>
            <w:vAlign w:val="center"/>
            <w:vMerge w:val="restart"/>
            <w:textDirection w:val="lrTb"/>
            <w:noWrap w:val="false"/>
          </w:tcPr>
          <w:p>
            <w:pPr>
              <w:pStyle w:val="1094"/>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619" w:type="dxa"/>
            <w:vAlign w:val="center"/>
            <w:textDirection w:val="lrTb"/>
            <w:noWrap w:val="false"/>
          </w:tcPr>
          <w:p>
            <w:pPr>
              <w:pStyle w:val="1094"/>
              <w:jc w:val="center"/>
              <w:tabs>
                <w:tab w:val="left" w:pos="5580" w:leader="none"/>
              </w:tabs>
              <w:rPr>
                <w:b/>
                <w:color w:val="000000"/>
                <w:sz w:val="24"/>
                <w:highlight w:val="none"/>
              </w:rPr>
            </w:pPr>
            <w:r>
              <w:rPr>
                <w:rFonts w:hint="eastAsia"/>
                <w:b/>
                <w:color w:val="000000"/>
                <w:sz w:val="24"/>
                <w:highlight w:val="none"/>
              </w:rPr>
              <w:t xml:space="preserve">报价</w:t>
            </w:r>
            <w:r>
              <w:rPr>
                <w:rFonts w:hint="eastAsia"/>
                <w:b/>
                <w:color w:val="000000"/>
                <w:sz w:val="24"/>
                <w:highlight w:val="none"/>
                <w:lang w:val="en-US" w:eastAsia="zh-CN"/>
              </w:rPr>
              <w:t xml:space="preserve">（元）</w:t>
            </w:r>
            <w:r>
              <w:rPr>
                <w:b/>
                <w:color w:val="000000"/>
                <w:sz w:val="24"/>
                <w:highlight w:val="none"/>
              </w:rPr>
            </w:r>
            <w:r/>
          </w:p>
        </w:tc>
      </w:tr>
      <w:tr>
        <w:trPr>
          <w:trHeight w:val="674"/>
        </w:trPr>
        <w:tc>
          <w:tcPr>
            <w:tcW w:w="902" w:type="dxa"/>
            <w:vAlign w:val="center"/>
            <w:vMerge w:val="continue"/>
            <w:textDirection w:val="lrTb"/>
            <w:noWrap w:val="false"/>
          </w:tcPr>
          <w:p>
            <w:pPr>
              <w:pStyle w:val="1094"/>
              <w:jc w:val="left"/>
              <w:widowControl/>
              <w:rPr>
                <w:b/>
                <w:color w:val="000000"/>
                <w:sz w:val="24"/>
                <w:highlight w:val="none"/>
              </w:rPr>
            </w:pPr>
            <w:r>
              <w:rPr>
                <w:b/>
                <w:color w:val="000000"/>
                <w:sz w:val="24"/>
                <w:highlight w:val="none"/>
              </w:rPr>
            </w:r>
            <w:r/>
          </w:p>
        </w:tc>
        <w:tc>
          <w:tcPr>
            <w:tcW w:w="3561" w:type="dxa"/>
            <w:vAlign w:val="center"/>
            <w:vMerge w:val="continue"/>
            <w:textDirection w:val="lrTb"/>
            <w:noWrap w:val="false"/>
          </w:tcPr>
          <w:p>
            <w:pPr>
              <w:pStyle w:val="1094"/>
              <w:jc w:val="left"/>
              <w:widowControl/>
              <w:rPr>
                <w:b/>
                <w:color w:val="000000"/>
                <w:sz w:val="24"/>
                <w:highlight w:val="none"/>
              </w:rPr>
            </w:pPr>
            <w:r>
              <w:rPr>
                <w:b/>
                <w:color w:val="000000"/>
                <w:sz w:val="24"/>
                <w:highlight w:val="none"/>
              </w:rPr>
            </w:r>
            <w:r/>
          </w:p>
        </w:tc>
        <w:tc>
          <w:tcPr>
            <w:tcW w:w="2250" w:type="dxa"/>
            <w:vAlign w:val="center"/>
            <w:textDirection w:val="lrTb"/>
            <w:noWrap w:val="false"/>
          </w:tcPr>
          <w:p>
            <w:pPr>
              <w:pStyle w:val="1094"/>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369" w:type="dxa"/>
            <w:vAlign w:val="center"/>
            <w:textDirection w:val="lrTb"/>
            <w:noWrap w:val="false"/>
          </w:tcPr>
          <w:p>
            <w:pPr>
              <w:pStyle w:val="1094"/>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902" w:type="dxa"/>
            <w:vAlign w:val="center"/>
            <w:textDirection w:val="lrTb"/>
            <w:noWrap w:val="false"/>
          </w:tcPr>
          <w:p>
            <w:pPr>
              <w:pStyle w:val="1094"/>
              <w:jc w:val="center"/>
              <w:tabs>
                <w:tab w:val="left" w:pos="5580" w:leader="none"/>
              </w:tabs>
              <w:rPr>
                <w:color w:val="000000"/>
                <w:sz w:val="24"/>
                <w:highlight w:val="none"/>
              </w:rPr>
            </w:pPr>
            <w:r>
              <w:rPr>
                <w:color w:val="000000"/>
                <w:sz w:val="24"/>
                <w:highlight w:val="none"/>
              </w:rPr>
            </w:r>
            <w:r/>
          </w:p>
        </w:tc>
        <w:tc>
          <w:tcPr>
            <w:tcW w:w="3561" w:type="dxa"/>
            <w:vAlign w:val="center"/>
            <w:textDirection w:val="lrTb"/>
            <w:noWrap w:val="false"/>
          </w:tcPr>
          <w:p>
            <w:pPr>
              <w:pStyle w:val="1094"/>
              <w:jc w:val="center"/>
              <w:tabs>
                <w:tab w:val="left" w:pos="5580" w:leader="none"/>
              </w:tabs>
              <w:rPr>
                <w:color w:val="000000"/>
                <w:sz w:val="24"/>
                <w:highlight w:val="none"/>
              </w:rPr>
            </w:pPr>
            <w:r>
              <w:rPr>
                <w:color w:val="000000"/>
                <w:sz w:val="24"/>
                <w:highlight w:val="none"/>
              </w:rPr>
            </w:r>
            <w:r/>
          </w:p>
        </w:tc>
        <w:tc>
          <w:tcPr>
            <w:tcW w:w="2250" w:type="dxa"/>
            <w:vAlign w:val="center"/>
            <w:textDirection w:val="lrTb"/>
            <w:noWrap w:val="false"/>
          </w:tcPr>
          <w:p>
            <w:pPr>
              <w:pStyle w:val="1094"/>
              <w:jc w:val="center"/>
              <w:tabs>
                <w:tab w:val="left" w:pos="5580" w:leader="none"/>
              </w:tabs>
              <w:rPr>
                <w:color w:val="000000"/>
                <w:sz w:val="24"/>
                <w:highlight w:val="none"/>
              </w:rPr>
            </w:pPr>
            <w:r>
              <w:rPr>
                <w:color w:val="000000"/>
                <w:sz w:val="24"/>
                <w:highlight w:val="none"/>
              </w:rPr>
            </w:r>
            <w:r/>
          </w:p>
        </w:tc>
        <w:tc>
          <w:tcPr>
            <w:tcW w:w="2369" w:type="dxa"/>
            <w:vAlign w:val="center"/>
            <w:textDirection w:val="lrTb"/>
            <w:noWrap w:val="false"/>
          </w:tcPr>
          <w:p>
            <w:pPr>
              <w:pStyle w:val="1094"/>
              <w:jc w:val="center"/>
              <w:tabs>
                <w:tab w:val="left" w:pos="5580" w:leader="none"/>
              </w:tabs>
              <w:rPr>
                <w:color w:val="000000"/>
                <w:sz w:val="24"/>
                <w:highlight w:val="none"/>
              </w:rPr>
            </w:pPr>
            <w:r>
              <w:rPr>
                <w:color w:val="000000"/>
                <w:sz w:val="24"/>
                <w:highlight w:val="none"/>
              </w:rPr>
            </w:r>
            <w:r/>
          </w:p>
        </w:tc>
      </w:tr>
    </w:tbl>
    <w:p>
      <w:pPr>
        <w:pStyle w:val="1094"/>
        <w:spacing w:before="25" w:after="25" w:line="360" w:lineRule="auto"/>
        <w:rPr>
          <w:color w:val="000000"/>
          <w:sz w:val="24"/>
          <w:highlight w:val="none"/>
          <w:lang w:val="en-US" w:eastAsia="zh-CN"/>
        </w:rPr>
      </w:pPr>
      <w:r>
        <w:rPr>
          <w:rFonts w:hint="eastAsia"/>
          <w:color w:val="000000"/>
          <w:sz w:val="24"/>
          <w:highlight w:val="none"/>
          <w:lang w:val="en-US" w:eastAsia="zh-CN"/>
        </w:rPr>
        <w:t xml:space="preserve">注：1.此表中的报价应和《分项报价表》中的总价相一致。</w:t>
      </w:r>
      <w:r>
        <w:rPr>
          <w:color w:val="000000"/>
          <w:sz w:val="24"/>
          <w:highlight w:val="none"/>
          <w:lang w:val="en-US" w:eastAsia="zh-CN"/>
        </w:rPr>
      </w:r>
      <w:r/>
    </w:p>
    <w:p>
      <w:pPr>
        <w:pStyle w:val="1094"/>
        <w:spacing w:before="25" w:after="25" w:line="360" w:lineRule="auto"/>
        <w:rPr>
          <w:rFonts w:eastAsia="宋体"/>
          <w:color w:val="000000"/>
          <w:sz w:val="24"/>
          <w:highlight w:val="none"/>
          <w:lang w:val="en-US" w:eastAsia="zh-CN"/>
        </w:rPr>
      </w:pPr>
      <w:r>
        <w:rPr>
          <w:rFonts w:hint="eastAsia"/>
          <w:color w:val="000000"/>
          <w:sz w:val="24"/>
          <w:highlight w:val="none"/>
          <w:lang w:val="en-US" w:eastAsia="zh-CN"/>
        </w:rPr>
        <w:t xml:space="preserve">2.二次报价即最终报价。</w:t>
      </w:r>
      <w:r>
        <w:rPr>
          <w:rFonts w:eastAsia="宋体"/>
          <w:color w:val="000000"/>
          <w:sz w:val="24"/>
          <w:highlight w:val="none"/>
          <w:lang w:val="en-US" w:eastAsia="zh-CN"/>
        </w:rPr>
      </w:r>
      <w:r/>
    </w:p>
    <w:p>
      <w:pPr>
        <w:pStyle w:val="1094"/>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94"/>
        <w:jc w:val="both"/>
        <w:rPr>
          <w:color w:val="000000"/>
          <w:sz w:val="24"/>
          <w:szCs w:val="20"/>
          <w:highlight w:val="none"/>
        </w:rPr>
        <w:outlineLvl w:val="9"/>
      </w:pPr>
      <w:r>
        <w:rPr>
          <w:color w:val="000000"/>
          <w:sz w:val="24"/>
          <w:szCs w:val="20"/>
          <w:highlight w:val="none"/>
        </w:rPr>
        <w:t xml:space="preserve">日期：_____年______月______日</w:t>
      </w:r>
      <w:r>
        <w:rPr>
          <w:color w:val="000000"/>
          <w:sz w:val="24"/>
          <w:szCs w:val="20"/>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jc w:val="center"/>
        <w:rPr>
          <w:rFonts w:hint="eastAsia"/>
          <w:b/>
          <w:color w:val="000000"/>
          <w:sz w:val="36"/>
          <w:szCs w:val="36"/>
          <w:highlight w:val="none"/>
        </w:rPr>
        <w:outlineLvl w:val="9"/>
      </w:pPr>
      <w:r>
        <w:rPr>
          <w:rFonts w:hint="eastAsia"/>
          <w:b/>
          <w:color w:val="000000"/>
          <w:sz w:val="36"/>
          <w:szCs w:val="36"/>
          <w:highlight w:val="none"/>
        </w:rPr>
      </w:r>
      <w:r/>
    </w:p>
    <w:p>
      <w:pPr>
        <w:pStyle w:val="1094"/>
        <w:spacing w:line="360" w:lineRule="auto"/>
        <w:rPr>
          <w:rFonts w:hint="eastAsia"/>
          <w:color w:val="000000"/>
          <w:sz w:val="24"/>
          <w:szCs w:val="20"/>
          <w:highlight w:val="none"/>
        </w:rPr>
        <w:outlineLvl w:val="9"/>
      </w:pPr>
      <w:r>
        <w:rPr>
          <w:rFonts w:hint="eastAsia"/>
          <w:color w:val="000000"/>
          <w:sz w:val="24"/>
          <w:szCs w:val="20"/>
          <w:highlight w:val="none"/>
        </w:rPr>
      </w:r>
      <w:r/>
    </w:p>
    <w:p>
      <w:pPr>
        <w:pStyle w:val="1094"/>
        <w:jc w:val="left"/>
        <w:widowControl/>
        <w:rPr>
          <w:rFonts w:hint="eastAsia" w:eastAsia="宋体"/>
          <w:color w:val="000000"/>
          <w:sz w:val="24"/>
          <w:szCs w:val="20"/>
          <w:highlight w:val="none"/>
          <w:lang w:val="en-US" w:eastAsia="zh-CN"/>
        </w:rPr>
        <w:outlineLvl w:val="9"/>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分项报价表</w:t>
      </w:r>
      <w:r>
        <w:rPr>
          <w:rFonts w:hint="eastAsia"/>
          <w:color w:val="000000"/>
          <w:sz w:val="24"/>
          <w:szCs w:val="20"/>
          <w:highlight w:val="none"/>
          <w:lang w:val="en-US" w:eastAsia="zh-CN"/>
        </w:rPr>
        <w:t xml:space="preserve"> </w:t>
      </w:r>
      <w:r>
        <w:rPr>
          <w:rFonts w:hint="eastAsia" w:eastAsia="宋体"/>
          <w:color w:val="000000"/>
          <w:sz w:val="24"/>
          <w:szCs w:val="20"/>
          <w:highlight w:val="none"/>
          <w:lang w:val="en-US" w:eastAsia="zh-CN"/>
        </w:rPr>
      </w:r>
      <w:r/>
    </w:p>
    <w:p>
      <w:pPr>
        <w:pStyle w:val="1094"/>
        <w:jc w:val="center"/>
        <w:spacing w:line="360" w:lineRule="exact"/>
        <w:rPr>
          <w:color w:val="000000"/>
          <w:sz w:val="36"/>
          <w:szCs w:val="36"/>
          <w:highlight w:val="none"/>
        </w:rPr>
        <w:outlineLvl w:val="9"/>
      </w:pPr>
      <w:r>
        <w:rPr>
          <w:color w:val="000000"/>
          <w:sz w:val="36"/>
          <w:szCs w:val="36"/>
          <w:highlight w:val="none"/>
        </w:rPr>
      </w:r>
      <w:r/>
    </w:p>
    <w:p>
      <w:pPr>
        <w:pStyle w:val="1094"/>
        <w:jc w:val="center"/>
        <w:spacing w:line="360" w:lineRule="exact"/>
        <w:rPr>
          <w:b/>
          <w:color w:val="000000"/>
          <w:sz w:val="36"/>
          <w:szCs w:val="36"/>
          <w:highlight w:val="none"/>
        </w:rPr>
        <w:outlineLvl w:val="9"/>
      </w:pPr>
      <w:r>
        <w:rPr>
          <w:rFonts w:hint="eastAsia"/>
          <w:b/>
          <w:color w:val="000000"/>
          <w:sz w:val="36"/>
          <w:szCs w:val="36"/>
          <w:highlight w:val="none"/>
        </w:rPr>
        <w:t xml:space="preserve">分项报价表</w:t>
      </w:r>
      <w:r>
        <w:rPr>
          <w:rFonts w:hint="eastAsia"/>
          <w:b/>
          <w:color w:val="000000"/>
          <w:sz w:val="36"/>
          <w:szCs w:val="36"/>
          <w:highlight w:val="none"/>
          <w:lang w:eastAsia="zh-CN"/>
        </w:rPr>
        <w:t xml:space="preserve">（</w:t>
      </w:r>
      <w:r>
        <w:rPr>
          <w:rFonts w:hint="eastAsia"/>
          <w:b/>
          <w:color w:val="000000"/>
          <w:sz w:val="36"/>
          <w:szCs w:val="36"/>
          <w:highlight w:val="none"/>
          <w:u w:val="single"/>
          <w:lang w:val="en-US" w:eastAsia="zh-CN"/>
        </w:rPr>
        <w:t xml:space="preserve">     </w:t>
      </w:r>
      <w:r>
        <w:rPr>
          <w:rFonts w:hint="eastAsia"/>
          <w:b/>
          <w:color w:val="000000"/>
          <w:sz w:val="36"/>
          <w:szCs w:val="36"/>
          <w:highlight w:val="none"/>
          <w:lang w:val="en-US" w:eastAsia="zh-CN"/>
        </w:rPr>
        <w:t xml:space="preserve">包</w:t>
      </w:r>
      <w:r>
        <w:rPr>
          <w:rFonts w:hint="eastAsia"/>
          <w:b/>
          <w:color w:val="000000"/>
          <w:sz w:val="36"/>
          <w:szCs w:val="36"/>
          <w:highlight w:val="none"/>
          <w:lang w:eastAsia="zh-CN"/>
        </w:rPr>
        <w:t xml:space="preserve">）</w:t>
      </w:r>
      <w:r>
        <w:rPr>
          <w:b/>
          <w:color w:val="000000"/>
          <w:sz w:val="36"/>
          <w:szCs w:val="36"/>
          <w:highlight w:val="none"/>
        </w:rPr>
      </w:r>
      <w:r/>
    </w:p>
    <w:p>
      <w:pPr>
        <w:pStyle w:val="1094"/>
        <w:jc w:val="center"/>
        <w:spacing w:line="260" w:lineRule="exact"/>
        <w:rPr>
          <w:color w:val="000000"/>
          <w:sz w:val="36"/>
          <w:szCs w:val="36"/>
          <w:highlight w:val="none"/>
        </w:rPr>
        <w:outlineLvl w:val="9"/>
      </w:pPr>
      <w:r>
        <w:rPr>
          <w:color w:val="000000"/>
          <w:sz w:val="36"/>
          <w:szCs w:val="36"/>
          <w:highlight w:val="none"/>
        </w:rPr>
      </w:r>
      <w:r/>
    </w:p>
    <w:p>
      <w:pPr>
        <w:pStyle w:val="1094"/>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rPr>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lang w:val="en-US" w:eastAsia="zh-CN"/>
              </w:rPr>
              <w:t xml:space="preserve">响应</w:t>
            </w:r>
            <w:r>
              <w:rPr>
                <w:rFonts w:hint="eastAsia" w:ascii="宋体" w:hAnsi="宋体" w:cs="Arial"/>
                <w:color w:val="000000"/>
                <w:sz w:val="24"/>
                <w:highlight w:val="none"/>
              </w:rPr>
              <w:t xml:space="preserve">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94"/>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423" w:type="dxa"/>
            <w:vAlign w:val="center"/>
            <w:vMerge w:val="continue"/>
            <w:textDirection w:val="lrTb"/>
            <w:noWrap w:val="false"/>
          </w:tcPr>
          <w:p>
            <w:pPr>
              <w:pStyle w:val="1094"/>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2533" w:type="dxa"/>
            <w:vAlign w:val="center"/>
            <w:vMerge w:val="continue"/>
            <w:textDirection w:val="lrTb"/>
            <w:noWrap w:val="false"/>
          </w:tcPr>
          <w:p>
            <w:pPr>
              <w:pStyle w:val="1094"/>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vMerge w:val="continue"/>
            <w:textDirection w:val="lrTb"/>
            <w:noWrap w:val="false"/>
          </w:tcPr>
          <w:p>
            <w:pPr>
              <w:pStyle w:val="1094"/>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vMerge w:val="continue"/>
            <w:textDirection w:val="lrTb"/>
            <w:noWrap w:val="false"/>
          </w:tcPr>
          <w:p>
            <w:pPr>
              <w:pStyle w:val="1094"/>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094"/>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2533"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4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9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94"/>
              <w:jc w:val="center"/>
              <w:spacing w:line="360" w:lineRule="auto"/>
              <w:widowControl/>
              <w:rPr>
                <w:rFonts w:hint="eastAsia" w:ascii="宋体" w:hAnsi="宋体" w:eastAsia="宋体" w:cs="Arial"/>
                <w:color w:val="000000"/>
                <w:sz w:val="24"/>
                <w:highlight w:val="none"/>
                <w:lang w:eastAsia="zh-CN"/>
              </w:rPr>
              <w:outlineLvl w:val="9"/>
            </w:pPr>
            <w:r>
              <w:rPr>
                <w:rFonts w:hint="eastAsia" w:ascii="宋体" w:hAnsi="宋体" w:cs="Arial"/>
                <w:color w:val="000000"/>
                <w:sz w:val="24"/>
                <w:highlight w:val="none"/>
                <w:lang w:val="en-US" w:eastAsia="zh-CN"/>
              </w:rPr>
              <w:t xml:space="preserve">合计（元）</w:t>
            </w:r>
            <w:r>
              <w:rPr>
                <w:rFonts w:hint="eastAsia" w:ascii="宋体" w:hAnsi="宋体" w:eastAsia="宋体" w:cs="Arial"/>
                <w:color w:val="000000"/>
                <w:sz w:val="24"/>
                <w:highlight w:val="none"/>
                <w:lang w:eastAsia="zh-CN"/>
              </w:rPr>
            </w:r>
            <w:r/>
          </w:p>
        </w:tc>
        <w:tc>
          <w:tcPr>
            <w:gridSpan w:val="4"/>
            <w:tcW w:w="4025" w:type="dxa"/>
            <w:vAlign w:val="center"/>
            <w:textDirection w:val="lrTb"/>
            <w:noWrap w:val="false"/>
          </w:tcPr>
          <w:p>
            <w:pPr>
              <w:pStyle w:val="1094"/>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pStyle w:val="1094"/>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094"/>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t xml:space="preserve">注：1.如果不提供分项报价将视为没有实质性响应</w:t>
      </w:r>
      <w:r>
        <w:rPr>
          <w:rFonts w:hint="eastAsia"/>
          <w:color w:val="000000"/>
          <w:sz w:val="24"/>
          <w:highlight w:val="none"/>
          <w:lang w:val="en-US" w:eastAsia="zh-CN"/>
        </w:rPr>
        <w:t xml:space="preserve">采购</w:t>
      </w:r>
      <w:r>
        <w:rPr>
          <w:color w:val="000000"/>
          <w:sz w:val="24"/>
          <w:highlight w:val="none"/>
        </w:rPr>
        <w:t xml:space="preserve">文件。</w:t>
      </w:r>
      <w:r>
        <w:rPr>
          <w:color w:val="000000"/>
          <w:sz w:val="24"/>
          <w:highlight w:val="none"/>
        </w:rPr>
      </w:r>
      <w:r/>
    </w:p>
    <w:p>
      <w:pPr>
        <w:pStyle w:val="1094"/>
        <w:ind w:firstLine="480"/>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本表行数可以按照项目分项情况增加。</w:t>
      </w:r>
      <w:r>
        <w:rPr>
          <w:color w:val="000000"/>
          <w:sz w:val="24"/>
          <w:highlight w:val="none"/>
        </w:rPr>
      </w:r>
      <w:r/>
    </w:p>
    <w:p>
      <w:pPr>
        <w:pStyle w:val="1094"/>
        <w:ind w:firstLine="480"/>
        <w:jc w:val="left"/>
        <w:tabs>
          <w:tab w:val="left" w:pos="1800" w:leader="none"/>
          <w:tab w:val="left" w:pos="5580" w:leader="none"/>
        </w:tabs>
        <w:rPr>
          <w:color w:val="000000"/>
          <w:sz w:val="24"/>
          <w:highlight w:val="none"/>
        </w:rPr>
        <w:outlineLvl w:val="9"/>
      </w:pPr>
      <w:r>
        <w:rPr>
          <w:color w:val="000000"/>
          <w:sz w:val="24"/>
          <w:highlight w:val="none"/>
        </w:rPr>
        <w:t xml:space="preserve">3.上述各项的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094"/>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094"/>
        <w:spacing w:before="25" w:after="25" w:line="360" w:lineRule="auto"/>
        <w:rPr>
          <w:color w:val="000000"/>
          <w:sz w:val="24"/>
          <w:highlight w:val="none"/>
          <w:lang w:val="zh-CN"/>
        </w:rPr>
        <w:outlineLvl w:val="9"/>
      </w:pPr>
      <w:r>
        <w:rPr>
          <w:rFonts w:hint="eastAsia"/>
          <w:color w:val="000000"/>
          <w:sz w:val="24"/>
          <w:highlight w:val="none"/>
          <w:lang w:val="en-US" w:eastAsia="zh-CN"/>
        </w:rPr>
        <w:t xml:space="preserve">供应商</w:t>
      </w:r>
      <w:r>
        <w:rPr>
          <w:color w:val="000000"/>
          <w:sz w:val="24"/>
          <w:highlight w:val="none"/>
        </w:rPr>
        <w:t xml:space="preserve">名称（加盖公章）</w:t>
      </w:r>
      <w:r>
        <w:rPr>
          <w:color w:val="000000"/>
          <w:sz w:val="24"/>
          <w:highlight w:val="none"/>
          <w:lang w:val="zh-CN"/>
        </w:rPr>
        <w:t xml:space="preserve">：____________</w:t>
      </w:r>
      <w:r>
        <w:rPr>
          <w:color w:val="000000"/>
          <w:sz w:val="24"/>
          <w:highlight w:val="none"/>
          <w:lang w:val="zh-CN"/>
        </w:rPr>
      </w:r>
      <w:r/>
    </w:p>
    <w:p>
      <w:pPr>
        <w:pStyle w:val="1094"/>
        <w:spacing w:line="360" w:lineRule="auto"/>
        <w:rPr>
          <w:color w:val="000000"/>
          <w:sz w:val="24"/>
          <w:szCs w:val="20"/>
          <w:highlight w:val="none"/>
        </w:rPr>
        <w:outlineLvl w:val="9"/>
      </w:pPr>
      <w:r>
        <w:rPr>
          <w:color w:val="000000"/>
          <w:sz w:val="24"/>
          <w:szCs w:val="20"/>
          <w:highlight w:val="none"/>
        </w:rPr>
        <w:t xml:space="preserve">日期：_____年______月______日</w:t>
      </w:r>
      <w:r>
        <w:rPr>
          <w:color w:val="000000"/>
          <w:sz w:val="24"/>
          <w:szCs w:val="20"/>
          <w:highlight w:val="none"/>
        </w:rPr>
      </w:r>
      <w:r/>
    </w:p>
    <w:p>
      <w:pPr>
        <w:pStyle w:val="1094"/>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32"/>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color w:val="000000"/>
          <w:sz w:val="24"/>
          <w:szCs w:val="20"/>
          <w:highlight w:val="none"/>
        </w:rPr>
      </w:r>
      <w:r/>
    </w:p>
    <w:p>
      <w:pPr>
        <w:pStyle w:val="1094"/>
        <w:spacing w:line="360" w:lineRule="auto"/>
        <w:rPr>
          <w:color w:val="000000"/>
          <w:sz w:val="24"/>
          <w:szCs w:val="20"/>
          <w:highlight w:val="none"/>
        </w:rPr>
        <w:outlineLvl w:val="9"/>
      </w:pPr>
      <w:r>
        <w:rPr>
          <w:color w:val="000000"/>
          <w:sz w:val="24"/>
          <w:szCs w:val="20"/>
          <w:highlight w:val="none"/>
        </w:rPr>
      </w:r>
      <w:r/>
    </w:p>
    <w:p>
      <w:pPr>
        <w:pStyle w:val="1094"/>
        <w:jc w:val="center"/>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1094"/>
        <w:jc w:val="center"/>
        <w:rPr>
          <w:color w:val="000000"/>
          <w:sz w:val="36"/>
          <w:szCs w:val="36"/>
          <w:highlight w:val="none"/>
        </w:rPr>
        <w:outlineLvl w:val="9"/>
      </w:pPr>
      <w:r>
        <w:rPr>
          <w:color w:val="000000"/>
          <w:sz w:val="36"/>
          <w:szCs w:val="36"/>
          <w:highlight w:val="none"/>
        </w:rPr>
      </w:r>
      <w:r/>
    </w:p>
    <w:p>
      <w:pPr>
        <w:pStyle w:val="1094"/>
        <w:spacing w:line="360" w:lineRule="auto"/>
        <w:rPr>
          <w:color w:val="000000"/>
          <w:sz w:val="24"/>
          <w:szCs w:val="20"/>
          <w:highlight w:val="none"/>
        </w:rPr>
        <w:outlineLvl w:val="9"/>
      </w:pPr>
      <w:r>
        <w:rPr>
          <w:color w:val="000000"/>
          <w:sz w:val="24"/>
          <w:szCs w:val="20"/>
          <w:highlight w:val="none"/>
        </w:rPr>
      </w:r>
      <w:r/>
    </w:p>
    <w:p>
      <w:pPr>
        <w:pStyle w:val="1094"/>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094"/>
              <w:jc w:val="left"/>
              <w:rPr>
                <w:b/>
                <w:color w:val="000000"/>
                <w:sz w:val="24"/>
                <w:highlight w:val="none"/>
              </w:rPr>
              <w:outlineLvl w:val="9"/>
            </w:pPr>
            <w:r>
              <w:rPr>
                <w:rFonts w:hint="eastAsia"/>
                <w:b/>
                <w:color w:val="000000"/>
                <w:sz w:val="24"/>
                <w:highlight w:val="none"/>
              </w:rPr>
              <w:t xml:space="preserve">对本项目合同条款的偏离情况（请进行勾选）：</w:t>
            </w:r>
            <w:r>
              <w:rPr>
                <w:b/>
                <w:color w:val="000000"/>
                <w:sz w:val="24"/>
                <w:highlight w:val="none"/>
              </w:rPr>
            </w:r>
            <w:r/>
          </w:p>
          <w:p>
            <w:pPr>
              <w:pStyle w:val="1094"/>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94"/>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94"/>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94"/>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1094"/>
              <w:jc w:val="center"/>
              <w:rPr>
                <w:color w:val="000000"/>
                <w:sz w:val="24"/>
                <w:highlight w:val="none"/>
              </w:rPr>
              <w:outlineLvl w:val="9"/>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bl>
    <w:p>
      <w:pPr>
        <w:pStyle w:val="1094"/>
        <w:jc w:val="left"/>
        <w:tabs>
          <w:tab w:val="left" w:pos="1800" w:leader="none"/>
          <w:tab w:val="left" w:pos="5580" w:leader="none"/>
        </w:tabs>
        <w:rPr>
          <w:color w:val="000000"/>
          <w:sz w:val="24"/>
          <w:highlight w:val="none"/>
        </w:rPr>
        <w:outlineLvl w:val="9"/>
      </w:pP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注：</w:t>
      </w: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94"/>
        <w:spacing w:line="360" w:lineRule="auto"/>
        <w:rPr>
          <w:color w:val="000000"/>
          <w:sz w:val="24"/>
          <w:szCs w:val="20"/>
          <w:highlight w:val="none"/>
        </w:rPr>
        <w:outlineLvl w:val="9"/>
      </w:pPr>
      <w:r>
        <w:rPr>
          <w:color w:val="000000"/>
          <w:sz w:val="24"/>
          <w:szCs w:val="20"/>
          <w:highlight w:val="none"/>
        </w:rPr>
      </w:r>
      <w:r/>
    </w:p>
    <w:p>
      <w:pPr>
        <w:pStyle w:val="1094"/>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094"/>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631"/>
      <w:r/>
      <w:bookmarkEnd w:id="633"/>
      <w:r/>
      <w:bookmarkEnd w:id="634"/>
      <w:r/>
      <w:bookmarkEnd w:id="635"/>
      <w:r/>
      <w:bookmarkEnd w:id="636"/>
      <w:r/>
      <w:bookmarkEnd w:id="637"/>
      <w:r/>
      <w:bookmarkEnd w:id="638"/>
      <w:r/>
      <w:bookmarkEnd w:id="639"/>
      <w:r/>
      <w:bookmarkEnd w:id="652"/>
      <w:r/>
      <w:bookmarkEnd w:id="653"/>
      <w:r/>
      <w:bookmarkEnd w:id="654"/>
      <w:r/>
      <w:bookmarkEnd w:id="655"/>
      <w:r/>
      <w:bookmarkEnd w:id="656"/>
      <w:r>
        <w:rPr>
          <w:color w:val="000000"/>
          <w:sz w:val="24"/>
          <w:szCs w:val="20"/>
          <w:highlight w:val="none"/>
        </w:rPr>
        <w:t xml:space="preserve">采购需求偏离表</w:t>
      </w:r>
      <w:r>
        <w:rPr>
          <w:color w:val="000000"/>
          <w:sz w:val="24"/>
          <w:szCs w:val="20"/>
          <w:highlight w:val="none"/>
        </w:rPr>
      </w:r>
      <w:r/>
    </w:p>
    <w:p>
      <w:pPr>
        <w:pStyle w:val="1094"/>
        <w:jc w:val="center"/>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1094"/>
        <w:jc w:val="center"/>
        <w:rPr>
          <w:color w:val="000000"/>
          <w:sz w:val="36"/>
          <w:szCs w:val="36"/>
          <w:highlight w:val="none"/>
        </w:rPr>
        <w:outlineLvl w:val="9"/>
      </w:pPr>
      <w:r>
        <w:rPr>
          <w:color w:val="000000"/>
          <w:sz w:val="36"/>
          <w:szCs w:val="36"/>
          <w:highlight w:val="none"/>
        </w:rPr>
      </w:r>
      <w:r/>
    </w:p>
    <w:p>
      <w:pPr>
        <w:pStyle w:val="1094"/>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1094"/>
              <w:jc w:val="center"/>
              <w:rPr>
                <w:color w:val="000000"/>
                <w:sz w:val="24"/>
                <w:highlight w:val="none"/>
              </w:rPr>
              <w:outlineLvl w:val="9"/>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1094"/>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1094"/>
              <w:jc w:val="center"/>
              <w:rPr>
                <w:color w:val="000000"/>
                <w:sz w:val="24"/>
                <w:highlight w:val="none"/>
              </w:rPr>
              <w:outlineLvl w:val="9"/>
            </w:pPr>
            <w:r>
              <w:rPr>
                <w:color w:val="000000"/>
                <w:sz w:val="24"/>
                <w:highlight w:val="none"/>
              </w:rPr>
            </w:r>
            <w:r/>
          </w:p>
        </w:tc>
      </w:tr>
    </w:tbl>
    <w:p>
      <w:pPr>
        <w:pStyle w:val="1094"/>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1094"/>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94"/>
        <w:jc w:val="left"/>
        <w:tabs>
          <w:tab w:val="left" w:pos="1800" w:leader="none"/>
          <w:tab w:val="left" w:pos="5580" w:leader="none"/>
        </w:tabs>
        <w:rPr>
          <w:color w:val="000000"/>
          <w:sz w:val="24"/>
          <w:highlight w:val="none"/>
        </w:rPr>
        <w:outlineLvl w:val="9"/>
      </w:pPr>
      <w:r>
        <w:rPr>
          <w:color w:val="000000"/>
          <w:sz w:val="24"/>
          <w:highlight w:val="none"/>
        </w:rPr>
      </w:r>
      <w:r/>
    </w:p>
    <w:p>
      <w:pPr>
        <w:pStyle w:val="1094"/>
        <w:rPr>
          <w:color w:val="000000"/>
          <w:sz w:val="24"/>
          <w:szCs w:val="20"/>
          <w:highlight w:val="none"/>
        </w:rPr>
        <w:outlineLvl w:val="9"/>
      </w:pPr>
      <w:r>
        <w:rPr>
          <w:color w:val="000000"/>
          <w:sz w:val="24"/>
          <w:szCs w:val="20"/>
          <w:highlight w:val="none"/>
        </w:rPr>
      </w:r>
      <w:r/>
    </w:p>
    <w:p>
      <w:pPr>
        <w:pStyle w:val="1094"/>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094"/>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94"/>
        <w:ind w:firstLine="480"/>
        <w:spacing w:line="560" w:lineRule="exact"/>
        <w:rPr>
          <w:rFonts w:eastAsia="宋体"/>
          <w:color w:val="000000"/>
          <w:sz w:val="24"/>
          <w:szCs w:val="20"/>
          <w:highlight w:val="none"/>
          <w:lang w:val="en-US" w:eastAsia="zh-CN"/>
        </w:rPr>
      </w:pPr>
      <w:r>
        <w:rPr>
          <w:rFonts w:hint="eastAsia"/>
          <w:color w:val="000000"/>
          <w:sz w:val="24"/>
          <w:szCs w:val="20"/>
          <w:highlight w:val="none"/>
          <w:lang w:val="en-US" w:eastAsia="zh-CN"/>
        </w:rPr>
        <w:t xml:space="preserve">01包：</w:t>
      </w:r>
      <w:r>
        <w:rPr>
          <w:rFonts w:eastAsia="宋体"/>
          <w:color w:val="000000"/>
          <w:sz w:val="24"/>
          <w:szCs w:val="20"/>
          <w:highlight w:val="none"/>
          <w:lang w:val="en-US" w:eastAsia="zh-CN"/>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rPr>
        <w:t xml:space="preserve">1）</w:t>
      </w:r>
      <w:r>
        <w:rPr>
          <w:rFonts w:hint="eastAsia" w:ascii="宋体" w:hAnsi="宋体" w:cs="宋体"/>
          <w:color w:val="000000"/>
          <w:sz w:val="24"/>
          <w:highlight w:val="none"/>
          <w:lang w:val="en-US" w:eastAsia="zh-CN"/>
        </w:rPr>
        <w:t xml:space="preserve">在线监测仪器运行维护实施方案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2</w:t>
      </w:r>
      <w:r>
        <w:rPr>
          <w:rFonts w:hint="eastAsia"/>
          <w:color w:val="000000"/>
          <w:sz w:val="24"/>
          <w:szCs w:val="20"/>
          <w:highlight w:val="none"/>
        </w:rPr>
        <w:t xml:space="preserve">）质量进度方案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3</w:t>
      </w:r>
      <w:r>
        <w:rPr>
          <w:rFonts w:hint="eastAsia"/>
          <w:color w:val="000000"/>
          <w:sz w:val="24"/>
          <w:szCs w:val="20"/>
          <w:highlight w:val="none"/>
        </w:rPr>
        <w:t xml:space="preserve">）人员配备方案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4</w:t>
      </w:r>
      <w:r>
        <w:rPr>
          <w:rFonts w:hint="eastAsia"/>
          <w:color w:val="000000"/>
          <w:sz w:val="24"/>
          <w:szCs w:val="20"/>
          <w:highlight w:val="none"/>
        </w:rPr>
        <w:t xml:space="preserve">）应急预案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5</w:t>
      </w:r>
      <w:r>
        <w:rPr>
          <w:rFonts w:hint="eastAsia"/>
          <w:color w:val="000000"/>
          <w:sz w:val="24"/>
          <w:szCs w:val="20"/>
          <w:highlight w:val="none"/>
        </w:rPr>
        <w:t xml:space="preserve">）合理化建议</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6</w:t>
      </w:r>
      <w:r>
        <w:rPr>
          <w:rFonts w:hint="eastAsia"/>
          <w:color w:val="000000"/>
          <w:sz w:val="24"/>
          <w:szCs w:val="20"/>
          <w:highlight w:val="none"/>
        </w:rPr>
        <w:t xml:space="preserve">）后续服务。</w:t>
      </w:r>
      <w:r>
        <w:rPr>
          <w:rFonts w:hint="eastAsia"/>
          <w:color w:val="000000"/>
          <w:sz w:val="24"/>
          <w:szCs w:val="20"/>
          <w:highlight w:val="none"/>
        </w:rPr>
      </w:r>
      <w:r/>
    </w:p>
    <w:p>
      <w:pPr>
        <w:pStyle w:val="1094"/>
        <w:ind w:firstLine="480"/>
        <w:spacing w:line="560" w:lineRule="exact"/>
        <w:rPr>
          <w:rFonts w:eastAsia="宋体"/>
          <w:color w:val="000000"/>
          <w:sz w:val="24"/>
          <w:szCs w:val="20"/>
          <w:highlight w:val="none"/>
          <w:lang w:val="en-US" w:eastAsia="zh-CN"/>
        </w:rPr>
      </w:pPr>
      <w:r>
        <w:rPr>
          <w:rFonts w:hint="eastAsia"/>
          <w:color w:val="000000"/>
          <w:sz w:val="24"/>
          <w:szCs w:val="20"/>
          <w:highlight w:val="none"/>
          <w:lang w:val="en-US" w:eastAsia="zh-CN"/>
        </w:rPr>
        <w:t xml:space="preserve">02包：</w:t>
      </w:r>
      <w:r>
        <w:rPr>
          <w:rFonts w:eastAsia="宋体"/>
          <w:color w:val="000000"/>
          <w:sz w:val="24"/>
          <w:szCs w:val="20"/>
          <w:highlight w:val="none"/>
          <w:lang w:val="en-US" w:eastAsia="zh-CN"/>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rPr>
        <w:t xml:space="preserve">1）工作方案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2</w:t>
      </w:r>
      <w:r>
        <w:rPr>
          <w:rFonts w:hint="eastAsia"/>
          <w:color w:val="000000"/>
          <w:sz w:val="24"/>
          <w:szCs w:val="20"/>
          <w:highlight w:val="none"/>
        </w:rPr>
        <w:t xml:space="preserve">）应急预案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3</w:t>
      </w:r>
      <w:r>
        <w:rPr>
          <w:rFonts w:hint="eastAsia"/>
          <w:color w:val="000000"/>
          <w:sz w:val="24"/>
          <w:szCs w:val="20"/>
          <w:highlight w:val="none"/>
        </w:rPr>
        <w:t xml:space="preserve">）数据审核方案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4</w:t>
      </w:r>
      <w:r>
        <w:rPr>
          <w:rFonts w:hint="eastAsia"/>
          <w:color w:val="000000"/>
          <w:sz w:val="24"/>
          <w:szCs w:val="20"/>
          <w:highlight w:val="none"/>
        </w:rPr>
        <w:t xml:space="preserve">）人员配备方案</w:t>
      </w:r>
      <w:r>
        <w:rPr>
          <w:rFonts w:hint="eastAsia"/>
          <w:color w:val="000000"/>
          <w:sz w:val="24"/>
          <w:szCs w:val="20"/>
          <w:highlight w:val="none"/>
        </w:rPr>
      </w:r>
      <w:r/>
    </w:p>
    <w:p>
      <w:pPr>
        <w:pStyle w:val="1094"/>
        <w:ind w:firstLine="480"/>
        <w:spacing w:line="560" w:lineRule="exact"/>
        <w:rPr>
          <w:rFonts w:hint="eastAsia"/>
          <w:color w:val="000000"/>
          <w:sz w:val="24"/>
          <w:szCs w:val="20"/>
          <w:highlight w:val="none"/>
        </w:rPr>
      </w:pPr>
      <w:r>
        <w:rPr>
          <w:rFonts w:hint="eastAsia"/>
          <w:color w:val="000000"/>
          <w:sz w:val="24"/>
          <w:szCs w:val="20"/>
          <w:highlight w:val="none"/>
          <w:lang w:val="en-US" w:eastAsia="zh-CN"/>
        </w:rPr>
        <w:t xml:space="preserve">5</w:t>
      </w:r>
      <w:r>
        <w:rPr>
          <w:rFonts w:hint="eastAsia"/>
          <w:color w:val="000000"/>
          <w:sz w:val="24"/>
          <w:szCs w:val="20"/>
          <w:highlight w:val="none"/>
        </w:rPr>
        <w:t xml:space="preserve">）合理化建议。</w:t>
      </w:r>
      <w:r>
        <w:rPr>
          <w:rFonts w:hint="eastAsia"/>
          <w:color w:val="000000"/>
          <w:sz w:val="24"/>
          <w:szCs w:val="20"/>
          <w:highlight w:val="none"/>
        </w:rPr>
      </w:r>
      <w:r/>
    </w:p>
    <w:p>
      <w:pPr>
        <w:pStyle w:val="1094"/>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r>
      <w:r/>
    </w:p>
    <w:p>
      <w:pPr>
        <w:pStyle w:val="1094"/>
        <w:ind w:firstLine="480"/>
        <w:spacing w:line="560" w:lineRule="exact"/>
        <w:rPr>
          <w:color w:val="000000"/>
          <w:sz w:val="24"/>
          <w:szCs w:val="20"/>
          <w:highlight w:val="none"/>
        </w:rPr>
        <w:outlineLvl w:val="9"/>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1094"/>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1094"/>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94"/>
        <w:spacing w:line="360" w:lineRule="auto"/>
        <w:rPr>
          <w:rFonts w:ascii="宋体" w:hAnsi="宋体"/>
          <w:color w:val="000000"/>
          <w:sz w:val="22"/>
          <w:highlight w:val="none"/>
        </w:rPr>
        <w:outlineLvl w:val="9"/>
      </w:pPr>
      <w:r>
        <w:rPr>
          <w:rFonts w:ascii="宋体" w:hAnsi="宋体"/>
          <w:color w:val="000000"/>
          <w:sz w:val="22"/>
          <w:highlight w:val="none"/>
        </w:rPr>
      </w:r>
      <w:r/>
    </w:p>
    <w:p>
      <w:pPr>
        <w:pStyle w:val="1094"/>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94"/>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94"/>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1094"/>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94"/>
        <w:spacing w:line="360" w:lineRule="auto"/>
        <w:rPr>
          <w:rFonts w:ascii="宋体" w:hAnsi="宋体"/>
          <w:color w:val="000000"/>
          <w:sz w:val="24"/>
          <w:highlight w:val="none"/>
        </w:rPr>
        <w:outlineLvl w:val="9"/>
      </w:pPr>
      <w:r>
        <w:rPr>
          <w:rFonts w:ascii="宋体" w:hAnsi="宋体"/>
          <w:color w:val="000000"/>
          <w:sz w:val="24"/>
          <w:highlight w:val="none"/>
        </w:rPr>
      </w:r>
      <w:r/>
    </w:p>
    <w:p>
      <w:pPr>
        <w:pStyle w:val="1094"/>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094"/>
        <w:rPr>
          <w:color w:val="000000"/>
          <w:sz w:val="24"/>
          <w:szCs w:val="20"/>
          <w:highlight w:val="none"/>
        </w:rPr>
        <w:outlineLvl w:val="9"/>
      </w:pPr>
      <w:r>
        <w:rPr>
          <w:color w:val="000000"/>
          <w:sz w:val="22"/>
          <w:highlight w:val="none"/>
        </w:rPr>
        <w:br w:type="page" w:clear="all"/>
      </w:r>
      <w:bookmarkStart w:id="668" w:name="_Toc288738397"/>
      <w:r/>
      <w:bookmarkStart w:id="669" w:name="_Toc288738839"/>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1094"/>
        <w:rPr>
          <w:color w:val="000000"/>
          <w:sz w:val="24"/>
          <w:szCs w:val="20"/>
          <w:highlight w:val="none"/>
        </w:rPr>
        <w:outlineLvl w:val="9"/>
      </w:pPr>
      <w:r>
        <w:rPr>
          <w:color w:val="000000"/>
          <w:sz w:val="24"/>
          <w:szCs w:val="20"/>
          <w:highlight w:val="none"/>
        </w:rPr>
      </w:r>
      <w:r/>
    </w:p>
    <w:p>
      <w:pPr>
        <w:pStyle w:val="1094"/>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668"/>
      <w:r/>
      <w:bookmarkEnd w:id="669"/>
      <w:r>
        <w:rPr>
          <w:rFonts w:ascii="宋体" w:hAnsi="宋体"/>
          <w:b/>
          <w:color w:val="000000"/>
          <w:sz w:val="32"/>
          <w:szCs w:val="32"/>
          <w:highlight w:val="none"/>
        </w:rPr>
      </w:r>
      <w:r/>
    </w:p>
    <w:p>
      <w:pPr>
        <w:pStyle w:val="1094"/>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1094"/>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94"/>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94"/>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94"/>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94"/>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1094"/>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1094"/>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1094"/>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94"/>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1094"/>
        <w:spacing w:line="360" w:lineRule="auto"/>
        <w:rPr>
          <w:color w:val="000000"/>
          <w:sz w:val="24"/>
          <w:highlight w:val="none"/>
        </w:rPr>
        <w:outlineLvl w:val="9"/>
      </w:pPr>
      <w:r>
        <w:rPr>
          <w:color w:val="000000"/>
          <w:sz w:val="24"/>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4</w:t>
      </w:r>
      <w:r>
        <w:rPr>
          <w:color w:val="000000"/>
          <w:sz w:val="24"/>
          <w:szCs w:val="20"/>
          <w:highlight w:val="none"/>
        </w:rPr>
        <w:t xml:space="preserve"> 磋商文件要求提供或供应商认为应附的其他材料</w:t>
      </w:r>
      <w:r>
        <w:rPr>
          <w:color w:val="000000"/>
          <w:sz w:val="24"/>
          <w:highlight w:val="none"/>
        </w:rPr>
      </w:r>
      <w:r/>
    </w:p>
    <w:p>
      <w:pPr>
        <w:pStyle w:val="1094"/>
        <w:rPr>
          <w:b/>
          <w:color w:val="000000"/>
          <w:sz w:val="36"/>
          <w:szCs w:val="36"/>
          <w:highlight w:val="none"/>
        </w:rPr>
        <w:outlineLvl w:val="9"/>
      </w:pPr>
      <w:r>
        <w:rPr>
          <w:b/>
          <w:color w:val="000000"/>
          <w:sz w:val="36"/>
          <w:szCs w:val="36"/>
          <w:highlight w:val="none"/>
        </w:rPr>
      </w:r>
      <w:r/>
    </w:p>
    <w:p>
      <w:pPr>
        <w:pStyle w:val="1094"/>
        <w:rPr>
          <w:color w:val="000000"/>
          <w:sz w:val="24"/>
          <w:highlight w:val="none"/>
          <w:lang w:val="zh-CN"/>
        </w:rPr>
        <w:outlineLvl w:val="9"/>
      </w:pPr>
      <w:r>
        <w:rPr>
          <w:color w:val="000000"/>
          <w:sz w:val="24"/>
          <w:szCs w:val="20"/>
          <w:highlight w:val="none"/>
        </w:rPr>
        <w:t xml:space="preserve"> </w:t>
      </w:r>
      <w:r>
        <w:rPr>
          <w:color w:val="000000"/>
          <w:sz w:val="24"/>
          <w:highlight w:val="none"/>
          <w:lang w:val="zh-CN"/>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CESI黑体-GB2312">
    <w:panose1 w:val="020B0503020202020204"/>
  </w:font>
  <w:font w:name="Wingdings">
    <w:panose1 w:val="05000000000000000000"/>
  </w:font>
  <w:font w:name="MingLiU-ExtB">
    <w:panose1 w:val="02020500000000000000"/>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rPr>
        <w:rStyle w:val="1170"/>
      </w:rPr>
      <w:framePr w:wrap="around" w:vAnchor="text" w:hAnchor="margin" w:xAlign="center" w:y="1"/>
    </w:pPr>
    <w:r>
      <w:fldChar w:fldCharType="begin"/>
    </w:r>
    <w:r>
      <w:rPr>
        <w:rStyle w:val="1170"/>
      </w:rPr>
      <w:instrText xml:space="preserve">PAGE  </w:instrText>
    </w:r>
    <w:r>
      <w:fldChar w:fldCharType="end"/>
    </w:r>
    <w:r>
      <w:rPr>
        <w:rStyle w:val="1170"/>
      </w:rPr>
    </w:r>
    <w:r/>
  </w:p>
  <w:p>
    <w:pPr>
      <w:pStyle w:val="114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1094"/>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9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09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left="4565"/>
      <w:spacing w:line="174" w:lineRule="auto"/>
      <w:rPr>
        <w:rFonts w:eastAsia="Times New Roman"/>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94"/>
                    </w:pPr>
                    <w:r/>
                    <w:r/>
                  </w:p>
                </w:txbxContent>
              </v:textbox>
            </v:shape>
          </w:pict>
        </mc:Fallback>
      </mc:AlternateContent>
    </w:r>
    <w:r>
      <w:rPr>
        <w:rFonts w:eastAsia="Times New Roman"/>
        <w:spacing w:val="-2"/>
        <w:sz w:val="18"/>
        <w:szCs w:val="18"/>
      </w:rPr>
      <w:t xml:space="preserve">30</w:t>
    </w:r>
    <w:r>
      <w:rPr>
        <w:rFonts w:eastAsia="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rPr>
        <w:rStyle w:val="1170"/>
      </w:rPr>
      <w:framePr w:wrap="around" w:vAnchor="text" w:hAnchor="margin" w:xAlign="right" w:y="1"/>
    </w:pPr>
    <w:r>
      <w:rPr>
        <w:rStyle w:val="1170"/>
      </w:rPr>
      <w:fldChar w:fldCharType="begin"/>
    </w:r>
    <w:r>
      <w:rPr>
        <w:rStyle w:val="1170"/>
      </w:rPr>
      <w:instrText xml:space="preserve">PAGE  </w:instrText>
    </w:r>
    <w:r>
      <w:rPr>
        <w:rStyle w:val="1170"/>
      </w:rPr>
      <w:fldChar w:fldCharType="end"/>
    </w:r>
    <w:r>
      <w:rPr>
        <w:rStyle w:val="1170"/>
      </w:rPr>
    </w:r>
    <w:r/>
  </w:p>
  <w:p>
    <w:pPr>
      <w:pStyle w:val="1146"/>
      <w:ind w:right="360"/>
      <w:tabs>
        <w:tab w:val="center" w:pos="4153" w:leader="none"/>
        <w:tab w:val="right" w:pos="8306" w:leader="none"/>
      </w:tabs>
    </w:pPr>
    <w:r/>
    <w:r/>
  </w:p>
  <w:p>
    <w:pPr>
      <w:pStyle w:val="109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right"/>
      <w:tabs>
        <w:tab w:val="center" w:pos="4153" w:leader="none"/>
        <w:tab w:val="right" w:pos="8306" w:leader="none"/>
      </w:tabs>
    </w:pPr>
    <w:r>
      <w:rPr>
        <w:rFonts w:hint="eastAsia"/>
        <w:lang w:eastAsia="zh-CN"/>
      </w:rPr>
      <w:t xml:space="preserve">2025年天宁水质自动站及空气自动站维保服务项目</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right"/>
      <w:tabs>
        <w:tab w:val="center" w:pos="4153" w:leader="none"/>
        <w:tab w:val="right" w:pos="8306" w:leader="none"/>
      </w:tabs>
      <w:rPr>
        <w:rFonts w:hint="eastAsia" w:eastAsia="宋体"/>
        <w:lang w:eastAsia="zh-CN"/>
      </w:rPr>
      <w:pBdr>
        <w:bottom w:val="single" w:color="000000" w:sz="4" w:space="1"/>
      </w:pBdr>
    </w:pPr>
    <w:r>
      <w:rPr>
        <w:rFonts w:hint="eastAsia"/>
        <w:lang w:eastAsia="zh-CN"/>
      </w:rPr>
      <w:t xml:space="preserve">2025年天宁水质自动站及空气自动站维保服务项目竞争性磋商文件</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tabs>
        <w:tab w:val="center" w:pos="4153" w:leader="none"/>
        <w:tab w:val="right" w:pos="8306" w:leader="none"/>
      </w:tabs>
    </w:pPr>
    <w:r/>
    <w:r/>
  </w:p>
  <w:p>
    <w:pPr>
      <w:pStyle w:val="109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094"/>
        <w:ind w:left="4941" w:hanging="1140"/>
        <w:tabs>
          <w:tab w:val="num" w:pos="4941" w:leader="none"/>
        </w:tabs>
      </w:pPr>
      <w:rPr>
        <w:rFonts w:hint="eastAsia"/>
      </w:rPr>
    </w:lvl>
    <w:lvl w:ilvl="1">
      <w:start w:val="1"/>
      <w:numFmt w:val="lowerLetter"/>
      <w:isLgl w:val="false"/>
      <w:suff w:val="tab"/>
      <w:lvlText w:val="%2)"/>
      <w:lvlJc w:val="left"/>
      <w:pPr>
        <w:pStyle w:val="1094"/>
        <w:ind w:left="4641" w:hanging="420"/>
        <w:tabs>
          <w:tab w:val="num" w:pos="4641" w:leader="none"/>
        </w:tabs>
      </w:pPr>
    </w:lvl>
    <w:lvl w:ilvl="2">
      <w:start w:val="1"/>
      <w:numFmt w:val="lowerRoman"/>
      <w:isLgl w:val="false"/>
      <w:suff w:val="tab"/>
      <w:lvlText w:val="%3."/>
      <w:lvlJc w:val="right"/>
      <w:pPr>
        <w:pStyle w:val="1094"/>
        <w:ind w:left="5061" w:hanging="420"/>
        <w:tabs>
          <w:tab w:val="num" w:pos="5061" w:leader="none"/>
        </w:tabs>
      </w:pPr>
    </w:lvl>
    <w:lvl w:ilvl="3">
      <w:start w:val="1"/>
      <w:numFmt w:val="decimal"/>
      <w:isLgl w:val="false"/>
      <w:suff w:val="tab"/>
      <w:lvlText w:val="%4."/>
      <w:lvlJc w:val="left"/>
      <w:pPr>
        <w:pStyle w:val="1094"/>
        <w:ind w:left="5481" w:hanging="420"/>
        <w:tabs>
          <w:tab w:val="num" w:pos="5481" w:leader="none"/>
        </w:tabs>
      </w:pPr>
    </w:lvl>
    <w:lvl w:ilvl="4">
      <w:start w:val="1"/>
      <w:numFmt w:val="lowerLetter"/>
      <w:isLgl w:val="false"/>
      <w:suff w:val="tab"/>
      <w:lvlText w:val="%5)"/>
      <w:lvlJc w:val="left"/>
      <w:pPr>
        <w:pStyle w:val="1094"/>
        <w:ind w:left="5901" w:hanging="420"/>
        <w:tabs>
          <w:tab w:val="num" w:pos="5901" w:leader="none"/>
        </w:tabs>
      </w:pPr>
    </w:lvl>
    <w:lvl w:ilvl="5">
      <w:start w:val="1"/>
      <w:numFmt w:val="lowerRoman"/>
      <w:isLgl w:val="false"/>
      <w:suff w:val="tab"/>
      <w:lvlText w:val="%6."/>
      <w:lvlJc w:val="right"/>
      <w:pPr>
        <w:pStyle w:val="1094"/>
        <w:ind w:left="6321" w:hanging="420"/>
        <w:tabs>
          <w:tab w:val="num" w:pos="6321" w:leader="none"/>
        </w:tabs>
      </w:pPr>
    </w:lvl>
    <w:lvl w:ilvl="6">
      <w:start w:val="1"/>
      <w:numFmt w:val="decimal"/>
      <w:isLgl w:val="false"/>
      <w:suff w:val="tab"/>
      <w:lvlText w:val="%7."/>
      <w:lvlJc w:val="left"/>
      <w:pPr>
        <w:pStyle w:val="1094"/>
        <w:ind w:left="6741" w:hanging="420"/>
        <w:tabs>
          <w:tab w:val="num" w:pos="6741" w:leader="none"/>
        </w:tabs>
      </w:pPr>
    </w:lvl>
    <w:lvl w:ilvl="7">
      <w:start w:val="1"/>
      <w:numFmt w:val="lowerLetter"/>
      <w:isLgl w:val="false"/>
      <w:suff w:val="tab"/>
      <w:lvlText w:val="%8)"/>
      <w:lvlJc w:val="left"/>
      <w:pPr>
        <w:pStyle w:val="1094"/>
        <w:ind w:left="7161" w:hanging="420"/>
        <w:tabs>
          <w:tab w:val="num" w:pos="7161" w:leader="none"/>
        </w:tabs>
      </w:pPr>
    </w:lvl>
    <w:lvl w:ilvl="8">
      <w:start w:val="1"/>
      <w:numFmt w:val="lowerRoman"/>
      <w:isLgl w:val="false"/>
      <w:suff w:val="tab"/>
      <w:lvlText w:val="%9."/>
      <w:lvlJc w:val="right"/>
      <w:pPr>
        <w:pStyle w:val="1094"/>
        <w:ind w:left="7581" w:hanging="420"/>
        <w:tabs>
          <w:tab w:val="num" w:pos="7581" w:leader="none"/>
        </w:tabs>
      </w:pPr>
    </w:lvl>
  </w:abstractNum>
  <w:abstractNum w:abstractNumId="6">
    <w:multiLevelType w:val="hybridMultilevel"/>
    <w:lvl w:ilvl="0">
      <w:start w:val="1"/>
      <w:numFmt w:val="decimal"/>
      <w:pStyle w:val="1254"/>
      <w:isLgl w:val="false"/>
      <w:suff w:val="tab"/>
      <w:lvlText w:val="%1."/>
      <w:lvlJc w:val="left"/>
      <w:pPr>
        <w:pStyle w:val="1094"/>
        <w:ind w:left="420" w:hanging="420"/>
      </w:pPr>
    </w:lvl>
    <w:lvl w:ilvl="1">
      <w:start w:val="1"/>
      <w:numFmt w:val="decimal"/>
      <w:isLgl w:val="false"/>
      <w:suff w:val="tab"/>
      <w:lvlText w:val="（%2）"/>
      <w:lvlJc w:val="left"/>
      <w:pPr>
        <w:pStyle w:val="1094"/>
        <w:ind w:left="1140" w:hanging="720"/>
        <w:tabs>
          <w:tab w:val="num" w:pos="1140" w:leader="none"/>
        </w:tabs>
      </w:pPr>
      <w:rPr>
        <w:rFonts w:hint="eastAsia"/>
      </w:rPr>
    </w:lvl>
    <w:lvl w:ilvl="2">
      <w:start w:val="1"/>
      <w:numFmt w:val="lowerRoman"/>
      <w:isLgl w:val="false"/>
      <w:suff w:val="tab"/>
      <w:lvlText w:val="%3."/>
      <w:lvlJc w:val="right"/>
      <w:pPr>
        <w:pStyle w:val="1094"/>
        <w:ind w:left="1260" w:hanging="420"/>
      </w:pPr>
    </w:lvl>
    <w:lvl w:ilvl="3">
      <w:start w:val="1"/>
      <w:numFmt w:val="decimal"/>
      <w:isLgl w:val="false"/>
      <w:suff w:val="tab"/>
      <w:lvlText w:val="%4."/>
      <w:lvlJc w:val="left"/>
      <w:pPr>
        <w:pStyle w:val="1094"/>
        <w:ind w:left="1680" w:hanging="420"/>
      </w:pPr>
    </w:lvl>
    <w:lvl w:ilvl="4">
      <w:start w:val="1"/>
      <w:numFmt w:val="lowerLetter"/>
      <w:isLgl w:val="false"/>
      <w:suff w:val="tab"/>
      <w:lvlText w:val="%5)"/>
      <w:lvlJc w:val="left"/>
      <w:pPr>
        <w:pStyle w:val="1094"/>
        <w:ind w:left="2100" w:hanging="420"/>
      </w:pPr>
    </w:lvl>
    <w:lvl w:ilvl="5">
      <w:start w:val="1"/>
      <w:numFmt w:val="lowerRoman"/>
      <w:isLgl w:val="false"/>
      <w:suff w:val="tab"/>
      <w:lvlText w:val="%6."/>
      <w:lvlJc w:val="right"/>
      <w:pPr>
        <w:pStyle w:val="1094"/>
        <w:ind w:left="2520" w:hanging="420"/>
      </w:pPr>
    </w:lvl>
    <w:lvl w:ilvl="6">
      <w:start w:val="1"/>
      <w:numFmt w:val="decimal"/>
      <w:isLgl w:val="false"/>
      <w:suff w:val="tab"/>
      <w:lvlText w:val="%7."/>
      <w:lvlJc w:val="left"/>
      <w:pPr>
        <w:pStyle w:val="1094"/>
        <w:ind w:left="2940" w:hanging="420"/>
      </w:pPr>
    </w:lvl>
    <w:lvl w:ilvl="7">
      <w:start w:val="1"/>
      <w:numFmt w:val="lowerLetter"/>
      <w:isLgl w:val="false"/>
      <w:suff w:val="tab"/>
      <w:lvlText w:val="%8)"/>
      <w:lvlJc w:val="left"/>
      <w:pPr>
        <w:pStyle w:val="1094"/>
        <w:ind w:left="3360" w:hanging="420"/>
      </w:pPr>
    </w:lvl>
    <w:lvl w:ilvl="8">
      <w:start w:val="1"/>
      <w:numFmt w:val="lowerRoman"/>
      <w:isLgl w:val="false"/>
      <w:suff w:val="tab"/>
      <w:lvlText w:val="%9."/>
      <w:lvlJc w:val="right"/>
      <w:pPr>
        <w:pStyle w:val="1094"/>
        <w:ind w:left="3780" w:hanging="420"/>
      </w:pPr>
    </w:lvl>
  </w:abstractNum>
  <w:abstractNum w:abstractNumId="7">
    <w:multiLevelType w:val="hybridMultilevel"/>
    <w:lvl w:ilvl="0">
      <w:start w:val="1"/>
      <w:numFmt w:val="lowerLetter"/>
      <w:pStyle w:val="1325"/>
      <w:isLgl w:val="false"/>
      <w:suff w:val="tab"/>
      <w:lvlText w:val="%1)"/>
      <w:lvlJc w:val="left"/>
      <w:pPr>
        <w:pStyle w:val="1094"/>
        <w:ind w:left="902" w:hanging="420"/>
      </w:pPr>
      <w:rPr>
        <w:color w:val="000000"/>
      </w:rPr>
    </w:lvl>
    <w:lvl w:ilvl="1">
      <w:start w:val="1"/>
      <w:numFmt w:val="lowerLetter"/>
      <w:isLgl w:val="false"/>
      <w:suff w:val="tab"/>
      <w:lvlText w:val="%2)"/>
      <w:lvlJc w:val="left"/>
      <w:pPr>
        <w:pStyle w:val="1094"/>
        <w:ind w:left="1322" w:hanging="420"/>
      </w:pPr>
    </w:lvl>
    <w:lvl w:ilvl="2">
      <w:start w:val="1"/>
      <w:numFmt w:val="lowerRoman"/>
      <w:isLgl w:val="false"/>
      <w:suff w:val="tab"/>
      <w:lvlText w:val="%3."/>
      <w:lvlJc w:val="right"/>
      <w:pPr>
        <w:pStyle w:val="1094"/>
        <w:ind w:left="1742" w:hanging="420"/>
      </w:pPr>
    </w:lvl>
    <w:lvl w:ilvl="3">
      <w:start w:val="1"/>
      <w:numFmt w:val="decimal"/>
      <w:isLgl w:val="false"/>
      <w:suff w:val="tab"/>
      <w:lvlText w:val="%4."/>
      <w:lvlJc w:val="left"/>
      <w:pPr>
        <w:pStyle w:val="1094"/>
        <w:ind w:left="2162" w:hanging="420"/>
      </w:pPr>
    </w:lvl>
    <w:lvl w:ilvl="4">
      <w:start w:val="1"/>
      <w:numFmt w:val="lowerLetter"/>
      <w:isLgl w:val="false"/>
      <w:suff w:val="tab"/>
      <w:lvlText w:val="%5)"/>
      <w:lvlJc w:val="left"/>
      <w:pPr>
        <w:pStyle w:val="1094"/>
        <w:ind w:left="2582" w:hanging="420"/>
      </w:pPr>
    </w:lvl>
    <w:lvl w:ilvl="5">
      <w:start w:val="1"/>
      <w:numFmt w:val="lowerRoman"/>
      <w:isLgl w:val="false"/>
      <w:suff w:val="tab"/>
      <w:lvlText w:val="%6."/>
      <w:lvlJc w:val="right"/>
      <w:pPr>
        <w:pStyle w:val="1094"/>
        <w:ind w:left="3002" w:hanging="420"/>
      </w:pPr>
    </w:lvl>
    <w:lvl w:ilvl="6">
      <w:start w:val="1"/>
      <w:numFmt w:val="decimal"/>
      <w:isLgl w:val="false"/>
      <w:suff w:val="tab"/>
      <w:lvlText w:val="%7."/>
      <w:lvlJc w:val="left"/>
      <w:pPr>
        <w:pStyle w:val="1094"/>
        <w:ind w:left="3422" w:hanging="420"/>
      </w:pPr>
    </w:lvl>
    <w:lvl w:ilvl="7">
      <w:start w:val="1"/>
      <w:numFmt w:val="lowerLetter"/>
      <w:isLgl w:val="false"/>
      <w:suff w:val="tab"/>
      <w:lvlText w:val="%8)"/>
      <w:lvlJc w:val="left"/>
      <w:pPr>
        <w:pStyle w:val="1094"/>
        <w:ind w:left="3842" w:hanging="420"/>
      </w:pPr>
    </w:lvl>
    <w:lvl w:ilvl="8">
      <w:start w:val="1"/>
      <w:numFmt w:val="lowerRoman"/>
      <w:isLgl w:val="false"/>
      <w:suff w:val="tab"/>
      <w:lvlText w:val="%9."/>
      <w:lvlJc w:val="right"/>
      <w:pPr>
        <w:pStyle w:val="1094"/>
        <w:ind w:left="4262" w:hanging="420"/>
      </w:pPr>
    </w:lvl>
  </w:abstractNum>
  <w:abstractNum w:abstractNumId="8">
    <w:multiLevelType w:val="hybridMultilevel"/>
    <w:lvl w:ilvl="0">
      <w:start w:val="1"/>
      <w:numFmt w:val="decimal"/>
      <w:pStyle w:val="1328"/>
      <w:isLgl w:val="false"/>
      <w:suff w:val="tab"/>
      <w:lvlText w:val="%1."/>
      <w:lvlJc w:val="left"/>
      <w:pPr>
        <w:pStyle w:val="109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40"/>
      <w:isLgl w:val="false"/>
      <w:suff w:val="nothing"/>
      <w:lvlText w:val="%1　"/>
      <w:lvlJc w:val="left"/>
      <w:pPr>
        <w:pStyle w:val="109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9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94"/>
        <w:ind w:left="-25" w:firstLine="0"/>
      </w:pPr>
      <w:rPr>
        <w:rFonts w:ascii="Times New Roman" w:hAnsi="Times New Roman" w:eastAsia="黑体"/>
        <w:b/>
        <w:i w:val="0"/>
        <w:sz w:val="28"/>
      </w:rPr>
    </w:lvl>
    <w:lvl w:ilvl="3">
      <w:start w:val="1"/>
      <w:numFmt w:val="decimal"/>
      <w:pStyle w:val="1255"/>
      <w:isLgl w:val="false"/>
      <w:suff w:val="nothing"/>
      <w:lvlText w:val="%1.%2.%3.%4　"/>
      <w:lvlJc w:val="left"/>
      <w:pPr>
        <w:pStyle w:val="109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9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94"/>
        <w:ind w:left="-25" w:firstLine="0"/>
      </w:pPr>
      <w:rPr>
        <w:rFonts w:ascii="Times New Roman" w:hAnsi="Times New Roman" w:eastAsia="宋体"/>
        <w:b/>
        <w:i w:val="0"/>
        <w:sz w:val="28"/>
      </w:rPr>
    </w:lvl>
    <w:lvl w:ilvl="6">
      <w:start w:val="1"/>
      <w:numFmt w:val="lowerLetter"/>
      <w:pStyle w:val="1234"/>
      <w:isLgl w:val="false"/>
      <w:suff w:val="tab"/>
      <w:lvlText w:val="%7) "/>
      <w:lvlJc w:val="left"/>
      <w:pPr>
        <w:pStyle w:val="1094"/>
        <w:ind w:left="-125" w:firstLine="400"/>
        <w:tabs>
          <w:tab w:val="num" w:pos="635" w:leader="none"/>
        </w:tabs>
      </w:pPr>
      <w:rPr>
        <w:rFonts w:ascii="Times New Roman" w:hAnsi="Times New Roman" w:eastAsia="宋体"/>
        <w:b/>
        <w:i w:val="0"/>
        <w:color w:val="000000"/>
        <w:sz w:val="28"/>
        <w:u w:val="none"/>
      </w:rPr>
    </w:lvl>
    <w:lvl w:ilvl="7">
      <w:start w:val="1"/>
      <w:numFmt w:val="decimal"/>
      <w:pStyle w:val="1245"/>
      <w:isLgl w:val="false"/>
      <w:suff w:val="tab"/>
      <w:lvlText w:val="%8) "/>
      <w:lvlJc w:val="left"/>
      <w:pPr>
        <w:pStyle w:val="109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94"/>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1094"/>
        <w:ind w:left="768" w:hanging="360"/>
        <w:tabs>
          <w:tab w:val="num" w:pos="768" w:leader="none"/>
        </w:tabs>
      </w:pPr>
      <w:rPr>
        <w:rFonts w:hint="eastAsia"/>
      </w:rPr>
    </w:lvl>
    <w:lvl w:ilvl="1">
      <w:start w:val="1"/>
      <w:numFmt w:val="decimal"/>
      <w:pStyle w:val="1326"/>
      <w:isLgl w:val="false"/>
      <w:suff w:val="tab"/>
      <w:lvlText w:val="%2、"/>
      <w:lvlJc w:val="left"/>
      <w:pPr>
        <w:pStyle w:val="1094"/>
        <w:ind w:left="1188" w:hanging="360"/>
        <w:tabs>
          <w:tab w:val="num" w:pos="1188" w:leader="none"/>
        </w:tabs>
      </w:pPr>
      <w:rPr>
        <w:rFonts w:hint="eastAsia"/>
      </w:rPr>
    </w:lvl>
    <w:lvl w:ilvl="2">
      <w:start w:val="1"/>
      <w:numFmt w:val="decimal"/>
      <w:isLgl w:val="false"/>
      <w:suff w:val="tab"/>
      <w:lvlText w:val="（%3）"/>
      <w:lvlJc w:val="left"/>
      <w:pPr>
        <w:pStyle w:val="1094"/>
        <w:ind w:left="1968" w:hanging="720"/>
        <w:tabs>
          <w:tab w:val="num" w:pos="1968" w:leader="none"/>
        </w:tabs>
      </w:pPr>
      <w:rPr>
        <w:rFonts w:hint="eastAsia"/>
        <w:u w:val="none"/>
      </w:rPr>
    </w:lvl>
    <w:lvl w:ilvl="3">
      <w:start w:val="1"/>
      <w:numFmt w:val="decimal"/>
      <w:isLgl w:val="false"/>
      <w:suff w:val="tab"/>
      <w:lvlText w:val="%4."/>
      <w:lvlJc w:val="left"/>
      <w:pPr>
        <w:pStyle w:val="1094"/>
        <w:ind w:left="2088" w:hanging="420"/>
        <w:tabs>
          <w:tab w:val="num" w:pos="2088" w:leader="none"/>
        </w:tabs>
      </w:pPr>
    </w:lvl>
    <w:lvl w:ilvl="4">
      <w:start w:val="1"/>
      <w:numFmt w:val="lowerLetter"/>
      <w:isLgl w:val="false"/>
      <w:suff w:val="tab"/>
      <w:lvlText w:val="%5)"/>
      <w:lvlJc w:val="left"/>
      <w:pPr>
        <w:pStyle w:val="1094"/>
        <w:ind w:left="2508" w:hanging="420"/>
        <w:tabs>
          <w:tab w:val="num" w:pos="2508" w:leader="none"/>
        </w:tabs>
      </w:pPr>
    </w:lvl>
    <w:lvl w:ilvl="5">
      <w:start w:val="1"/>
      <w:numFmt w:val="lowerRoman"/>
      <w:isLgl w:val="false"/>
      <w:suff w:val="tab"/>
      <w:lvlText w:val="%6."/>
      <w:lvlJc w:val="right"/>
      <w:pPr>
        <w:pStyle w:val="1094"/>
        <w:ind w:left="2928" w:hanging="420"/>
        <w:tabs>
          <w:tab w:val="num" w:pos="2928" w:leader="none"/>
        </w:tabs>
      </w:pPr>
    </w:lvl>
    <w:lvl w:ilvl="6">
      <w:start w:val="1"/>
      <w:numFmt w:val="decimal"/>
      <w:isLgl w:val="false"/>
      <w:suff w:val="tab"/>
      <w:lvlText w:val="%7."/>
      <w:lvlJc w:val="left"/>
      <w:pPr>
        <w:pStyle w:val="1094"/>
        <w:ind w:left="3348" w:hanging="420"/>
        <w:tabs>
          <w:tab w:val="num" w:pos="3348" w:leader="none"/>
        </w:tabs>
      </w:pPr>
    </w:lvl>
    <w:lvl w:ilvl="7">
      <w:start w:val="1"/>
      <w:numFmt w:val="lowerLetter"/>
      <w:isLgl w:val="false"/>
      <w:suff w:val="tab"/>
      <w:lvlText w:val="%8)"/>
      <w:lvlJc w:val="left"/>
      <w:pPr>
        <w:pStyle w:val="1094"/>
        <w:ind w:left="3768" w:hanging="420"/>
        <w:tabs>
          <w:tab w:val="num" w:pos="3768" w:leader="none"/>
        </w:tabs>
      </w:pPr>
    </w:lvl>
    <w:lvl w:ilvl="8">
      <w:start w:val="1"/>
      <w:numFmt w:val="lowerRoman"/>
      <w:isLgl w:val="false"/>
      <w:suff w:val="tab"/>
      <w:lvlText w:val="%9."/>
      <w:lvlJc w:val="right"/>
      <w:pPr>
        <w:pStyle w:val="1094"/>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1094"/>
        <w:ind w:left="900" w:hanging="900"/>
        <w:tabs>
          <w:tab w:val="num" w:pos="900" w:leader="none"/>
        </w:tabs>
      </w:pPr>
      <w:rPr>
        <w:rFonts w:hint="eastAsia"/>
      </w:rPr>
    </w:lvl>
    <w:lvl w:ilvl="1">
      <w:start w:val="1"/>
      <w:numFmt w:val="decimal"/>
      <w:isLgl w:val="false"/>
      <w:suff w:val="tab"/>
      <w:lvlText w:val="%1.%2"/>
      <w:lvlJc w:val="left"/>
      <w:pPr>
        <w:pStyle w:val="10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4"/>
        <w:ind w:left="1980" w:hanging="900"/>
        <w:tabs>
          <w:tab w:val="num" w:pos="1980" w:leader="none"/>
        </w:tabs>
      </w:pPr>
      <w:rPr>
        <w:rFonts w:hint="eastAsia"/>
      </w:rPr>
    </w:lvl>
    <w:lvl w:ilvl="3">
      <w:start w:val="1"/>
      <w:numFmt w:val="decimal"/>
      <w:isLgl w:val="false"/>
      <w:suff w:val="tab"/>
      <w:lvlText w:val="%1.%2.%3.%4"/>
      <w:lvlJc w:val="left"/>
      <w:pPr>
        <w:pStyle w:val="1094"/>
        <w:ind w:left="900" w:hanging="900"/>
        <w:tabs>
          <w:tab w:val="num" w:pos="900" w:leader="none"/>
        </w:tabs>
      </w:pPr>
      <w:rPr>
        <w:rFonts w:hint="eastAsia"/>
      </w:rPr>
    </w:lvl>
    <w:lvl w:ilvl="4">
      <w:start w:val="1"/>
      <w:numFmt w:val="decimal"/>
      <w:isLgl w:val="false"/>
      <w:suff w:val="tab"/>
      <w:lvlText w:val="%1.%2.%3.%4.%5"/>
      <w:lvlJc w:val="left"/>
      <w:pPr>
        <w:pStyle w:val="1094"/>
        <w:ind w:left="900" w:hanging="900"/>
        <w:tabs>
          <w:tab w:val="num" w:pos="900" w:leader="none"/>
        </w:tabs>
      </w:pPr>
      <w:rPr>
        <w:rFonts w:hint="eastAsia"/>
      </w:rPr>
    </w:lvl>
    <w:lvl w:ilvl="5">
      <w:start w:val="1"/>
      <w:numFmt w:val="decimal"/>
      <w:isLgl w:val="false"/>
      <w:suff w:val="tab"/>
      <w:lvlText w:val="%1.%2.%3.%4.%5.%6"/>
      <w:lvlJc w:val="left"/>
      <w:pPr>
        <w:pStyle w:val="1094"/>
        <w:ind w:left="900" w:hanging="900"/>
        <w:tabs>
          <w:tab w:val="num" w:pos="900" w:leader="none"/>
        </w:tabs>
      </w:pPr>
      <w:rPr>
        <w:rFonts w:hint="eastAsia"/>
      </w:rPr>
    </w:lvl>
    <w:lvl w:ilvl="6">
      <w:start w:val="1"/>
      <w:numFmt w:val="decimal"/>
      <w:isLgl w:val="false"/>
      <w:suff w:val="tab"/>
      <w:lvlText w:val="%1.%2.%3.%4.%5.%6.%7"/>
      <w:lvlJc w:val="left"/>
      <w:pPr>
        <w:pStyle w:val="1094"/>
        <w:ind w:left="900" w:hanging="900"/>
        <w:tabs>
          <w:tab w:val="num" w:pos="900" w:leader="none"/>
        </w:tabs>
      </w:pPr>
      <w:rPr>
        <w:rFonts w:hint="eastAsia"/>
      </w:rPr>
    </w:lvl>
    <w:lvl w:ilvl="7">
      <w:start w:val="1"/>
      <w:numFmt w:val="decimal"/>
      <w:isLgl w:val="false"/>
      <w:suff w:val="tab"/>
      <w:lvlText w:val="%1.%2.%3.%4.%5.%6.%7.%8"/>
      <w:lvlJc w:val="left"/>
      <w:pPr>
        <w:pStyle w:val="1094"/>
        <w:ind w:left="900" w:hanging="900"/>
        <w:tabs>
          <w:tab w:val="num" w:pos="900" w:leader="none"/>
        </w:tabs>
      </w:pPr>
      <w:rPr>
        <w:rFonts w:hint="eastAsia"/>
      </w:rPr>
    </w:lvl>
    <w:lvl w:ilvl="8">
      <w:start w:val="1"/>
      <w:numFmt w:val="decimal"/>
      <w:isLgl w:val="false"/>
      <w:suff w:val="tab"/>
      <w:lvlText w:val="%1.%2.%3.%4.%5.%6.%7.%8.%9"/>
      <w:lvlJc w:val="left"/>
      <w:pPr>
        <w:pStyle w:val="1094"/>
        <w:ind w:left="900" w:hanging="900"/>
        <w:tabs>
          <w:tab w:val="num" w:pos="900" w:leader="none"/>
        </w:tabs>
      </w:pPr>
      <w:rPr>
        <w:rFonts w:hint="eastAsia"/>
      </w:rPr>
    </w:lvl>
  </w:abstractNum>
  <w:abstractNum w:abstractNumId="12">
    <w:multiLevelType w:val="hybridMultilevel"/>
    <w:lvl w:ilvl="0">
      <w:start w:val="1"/>
      <w:numFmt w:val="decimal"/>
      <w:pStyle w:val="1280"/>
      <w:isLgl w:val="false"/>
      <w:suff w:val="tab"/>
      <w:lvlText w:val="%1)"/>
      <w:lvlJc w:val="left"/>
      <w:pPr>
        <w:pStyle w:val="1094"/>
        <w:ind w:left="420" w:hanging="420"/>
      </w:pPr>
    </w:lvl>
    <w:lvl w:ilvl="1">
      <w:start w:val="1"/>
      <w:numFmt w:val="lowerLetter"/>
      <w:isLgl w:val="false"/>
      <w:suff w:val="tab"/>
      <w:lvlText w:val="%2)"/>
      <w:lvlJc w:val="left"/>
      <w:pPr>
        <w:pStyle w:val="1094"/>
        <w:ind w:left="840" w:hanging="420"/>
      </w:pPr>
    </w:lvl>
    <w:lvl w:ilvl="2">
      <w:start w:val="1"/>
      <w:numFmt w:val="lowerRoman"/>
      <w:isLgl w:val="false"/>
      <w:suff w:val="tab"/>
      <w:lvlText w:val="%3."/>
      <w:lvlJc w:val="right"/>
      <w:pPr>
        <w:pStyle w:val="1094"/>
        <w:ind w:left="1260" w:hanging="420"/>
      </w:pPr>
    </w:lvl>
    <w:lvl w:ilvl="3">
      <w:start w:val="1"/>
      <w:numFmt w:val="decimal"/>
      <w:isLgl w:val="false"/>
      <w:suff w:val="tab"/>
      <w:lvlText w:val="%4."/>
      <w:lvlJc w:val="left"/>
      <w:pPr>
        <w:pStyle w:val="1094"/>
        <w:ind w:left="1680" w:hanging="420"/>
      </w:pPr>
    </w:lvl>
    <w:lvl w:ilvl="4">
      <w:start w:val="1"/>
      <w:numFmt w:val="lowerLetter"/>
      <w:isLgl w:val="false"/>
      <w:suff w:val="tab"/>
      <w:lvlText w:val="%5)"/>
      <w:lvlJc w:val="left"/>
      <w:pPr>
        <w:pStyle w:val="1094"/>
        <w:ind w:left="2100" w:hanging="420"/>
      </w:pPr>
    </w:lvl>
    <w:lvl w:ilvl="5">
      <w:start w:val="1"/>
      <w:numFmt w:val="lowerRoman"/>
      <w:isLgl w:val="false"/>
      <w:suff w:val="tab"/>
      <w:lvlText w:val="%6."/>
      <w:lvlJc w:val="right"/>
      <w:pPr>
        <w:pStyle w:val="1094"/>
        <w:ind w:left="2520" w:hanging="420"/>
      </w:pPr>
    </w:lvl>
    <w:lvl w:ilvl="6">
      <w:start w:val="1"/>
      <w:numFmt w:val="decimal"/>
      <w:isLgl w:val="false"/>
      <w:suff w:val="tab"/>
      <w:lvlText w:val="%7."/>
      <w:lvlJc w:val="left"/>
      <w:pPr>
        <w:pStyle w:val="1094"/>
        <w:ind w:left="2940" w:hanging="420"/>
      </w:pPr>
    </w:lvl>
    <w:lvl w:ilvl="7">
      <w:start w:val="1"/>
      <w:numFmt w:val="lowerLetter"/>
      <w:isLgl w:val="false"/>
      <w:suff w:val="tab"/>
      <w:lvlText w:val="%8)"/>
      <w:lvlJc w:val="left"/>
      <w:pPr>
        <w:pStyle w:val="1094"/>
        <w:ind w:left="3360" w:hanging="420"/>
      </w:pPr>
    </w:lvl>
    <w:lvl w:ilvl="8">
      <w:start w:val="1"/>
      <w:numFmt w:val="lowerRoman"/>
      <w:isLgl w:val="false"/>
      <w:suff w:val="tab"/>
      <w:lvlText w:val="%9."/>
      <w:lvlJc w:val="right"/>
      <w:pPr>
        <w:pStyle w:val="1094"/>
        <w:ind w:left="3780" w:hanging="420"/>
      </w:pPr>
    </w:lvl>
  </w:abstractNum>
  <w:abstractNum w:abstractNumId="13">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90"/>
      <w:isLgl w:val="false"/>
      <w:suff w:val="tab"/>
      <w:lvlText w:val="%1"/>
      <w:lvlJc w:val="left"/>
      <w:pPr>
        <w:pStyle w:val="1094"/>
        <w:ind w:left="680" w:hanging="680"/>
      </w:pPr>
      <w:rPr>
        <w:rFonts w:hint="eastAsia" w:ascii="宋体" w:hAnsi="宋体" w:eastAsia="宋体"/>
      </w:rPr>
    </w:lvl>
    <w:lvl w:ilvl="1">
      <w:start w:val="1"/>
      <w:numFmt w:val="decimal"/>
      <w:pStyle w:val="1235"/>
      <w:isLgl w:val="false"/>
      <w:suff w:val="tab"/>
      <w:lvlText w:val="%1.%2"/>
      <w:lvlJc w:val="left"/>
      <w:pPr>
        <w:pStyle w:val="1094"/>
        <w:ind w:left="851" w:hanging="851"/>
      </w:pPr>
      <w:rPr>
        <w:rFonts w:hint="eastAsia" w:ascii="宋体" w:hAnsi="宋体" w:eastAsia="宋体"/>
        <w:color w:val="000000"/>
      </w:rPr>
    </w:lvl>
    <w:lvl w:ilvl="2">
      <w:start w:val="1"/>
      <w:numFmt w:val="decimal"/>
      <w:pStyle w:val="1341"/>
      <w:isLgl w:val="false"/>
      <w:suff w:val="tab"/>
      <w:lvlText w:val="%1.%2.%3"/>
      <w:lvlJc w:val="left"/>
      <w:pPr>
        <w:pStyle w:val="1094"/>
        <w:ind w:left="851" w:hanging="851"/>
      </w:pPr>
      <w:rPr>
        <w:rFonts w:hint="eastAsia"/>
      </w:rPr>
    </w:lvl>
    <w:lvl w:ilvl="3">
      <w:start w:val="1"/>
      <w:numFmt w:val="decimal"/>
      <w:isLgl w:val="false"/>
      <w:suff w:val="tab"/>
      <w:lvlText w:val="%1.%2.%3.%4"/>
      <w:lvlJc w:val="left"/>
      <w:pPr>
        <w:pStyle w:val="1094"/>
        <w:ind w:left="680" w:hanging="680"/>
      </w:pPr>
      <w:rPr>
        <w:rFonts w:hint="eastAsia"/>
      </w:rPr>
    </w:lvl>
    <w:lvl w:ilvl="4">
      <w:start w:val="1"/>
      <w:numFmt w:val="decimal"/>
      <w:isLgl w:val="false"/>
      <w:suff w:val="tab"/>
      <w:lvlText w:val="%1.%2.%3.%4.%5"/>
      <w:lvlJc w:val="left"/>
      <w:pPr>
        <w:pStyle w:val="1094"/>
        <w:ind w:left="680" w:hanging="680"/>
      </w:pPr>
      <w:rPr>
        <w:rFonts w:hint="eastAsia"/>
      </w:rPr>
    </w:lvl>
    <w:lvl w:ilvl="5">
      <w:start w:val="1"/>
      <w:numFmt w:val="decimal"/>
      <w:isLgl w:val="false"/>
      <w:suff w:val="tab"/>
      <w:lvlText w:val="%1.%2.%3.%4.%5.%6"/>
      <w:lvlJc w:val="left"/>
      <w:pPr>
        <w:pStyle w:val="1094"/>
        <w:ind w:left="680" w:hanging="680"/>
      </w:pPr>
      <w:rPr>
        <w:rFonts w:hint="eastAsia"/>
      </w:rPr>
    </w:lvl>
    <w:lvl w:ilvl="6">
      <w:start w:val="1"/>
      <w:numFmt w:val="decimal"/>
      <w:isLgl w:val="false"/>
      <w:suff w:val="tab"/>
      <w:lvlText w:val="%1.%2.%3.%4.%5.%6.%7"/>
      <w:lvlJc w:val="left"/>
      <w:pPr>
        <w:pStyle w:val="1094"/>
        <w:ind w:left="680" w:hanging="680"/>
      </w:pPr>
      <w:rPr>
        <w:rFonts w:hint="eastAsia"/>
      </w:rPr>
    </w:lvl>
    <w:lvl w:ilvl="7">
      <w:start w:val="1"/>
      <w:numFmt w:val="decimal"/>
      <w:isLgl w:val="false"/>
      <w:suff w:val="tab"/>
      <w:lvlText w:val="%1.%2.%3.%4.%5.%6.%7.%8"/>
      <w:lvlJc w:val="left"/>
      <w:pPr>
        <w:pStyle w:val="1094"/>
        <w:ind w:left="680" w:hanging="680"/>
      </w:pPr>
      <w:rPr>
        <w:rFonts w:hint="eastAsia"/>
      </w:rPr>
    </w:lvl>
    <w:lvl w:ilvl="8">
      <w:start w:val="1"/>
      <w:numFmt w:val="decimal"/>
      <w:isLgl w:val="false"/>
      <w:suff w:val="tab"/>
      <w:lvlText w:val="%1.%2.%3.%4.%5.%6.%7.%8.%9"/>
      <w:lvlJc w:val="left"/>
      <w:pPr>
        <w:pStyle w:val="1094"/>
        <w:ind w:left="680" w:hanging="680"/>
      </w:pPr>
      <w:rPr>
        <w:rFonts w:hint="eastAsia"/>
      </w:rPr>
    </w:lvl>
  </w:abstractNum>
  <w:abstractNum w:abstractNumId="15">
    <w:multiLevelType w:val="hybridMultilevel"/>
    <w:lvl w:ilvl="0">
      <w:start w:val="1"/>
      <w:numFmt w:val="decimal"/>
      <w:isLgl w:val="false"/>
      <w:suff w:val="tab"/>
      <w:lvlText w:val="%1"/>
      <w:lvlJc w:val="left"/>
      <w:pPr>
        <w:pStyle w:val="1094"/>
        <w:ind w:left="900" w:hanging="900"/>
        <w:tabs>
          <w:tab w:val="num" w:pos="900" w:leader="none"/>
        </w:tabs>
      </w:pPr>
      <w:rPr>
        <w:rFonts w:hint="eastAsia"/>
      </w:rPr>
    </w:lvl>
    <w:lvl w:ilvl="1">
      <w:start w:val="1"/>
      <w:numFmt w:val="decimal"/>
      <w:isLgl w:val="false"/>
      <w:suff w:val="tab"/>
      <w:lvlText w:val="%1.%2"/>
      <w:lvlJc w:val="left"/>
      <w:pPr>
        <w:pStyle w:val="1094"/>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94"/>
        <w:ind w:left="1980" w:hanging="900"/>
        <w:tabs>
          <w:tab w:val="num" w:pos="1980" w:leader="none"/>
        </w:tabs>
      </w:pPr>
      <w:rPr>
        <w:rFonts w:hint="eastAsia"/>
      </w:rPr>
    </w:lvl>
    <w:lvl w:ilvl="3">
      <w:start w:val="1"/>
      <w:numFmt w:val="decimal"/>
      <w:isLgl w:val="false"/>
      <w:suff w:val="tab"/>
      <w:lvlText w:val="%1.%2.%3.%4"/>
      <w:lvlJc w:val="left"/>
      <w:pPr>
        <w:pStyle w:val="1094"/>
        <w:ind w:left="900" w:hanging="900"/>
        <w:tabs>
          <w:tab w:val="num" w:pos="900" w:leader="none"/>
        </w:tabs>
      </w:pPr>
      <w:rPr>
        <w:rFonts w:hint="eastAsia"/>
      </w:rPr>
    </w:lvl>
    <w:lvl w:ilvl="4">
      <w:start w:val="1"/>
      <w:numFmt w:val="decimal"/>
      <w:isLgl w:val="false"/>
      <w:suff w:val="tab"/>
      <w:lvlText w:val="%1.%2.%3.%4.%5"/>
      <w:lvlJc w:val="left"/>
      <w:pPr>
        <w:pStyle w:val="1094"/>
        <w:ind w:left="900" w:hanging="900"/>
        <w:tabs>
          <w:tab w:val="num" w:pos="900" w:leader="none"/>
        </w:tabs>
      </w:pPr>
      <w:rPr>
        <w:rFonts w:hint="eastAsia"/>
      </w:rPr>
    </w:lvl>
    <w:lvl w:ilvl="5">
      <w:start w:val="1"/>
      <w:numFmt w:val="decimal"/>
      <w:isLgl w:val="false"/>
      <w:suff w:val="tab"/>
      <w:lvlText w:val="%1.%2.%3.%4.%5.%6"/>
      <w:lvlJc w:val="left"/>
      <w:pPr>
        <w:pStyle w:val="1094"/>
        <w:ind w:left="900" w:hanging="900"/>
        <w:tabs>
          <w:tab w:val="num" w:pos="900" w:leader="none"/>
        </w:tabs>
      </w:pPr>
      <w:rPr>
        <w:rFonts w:hint="eastAsia"/>
      </w:rPr>
    </w:lvl>
    <w:lvl w:ilvl="6">
      <w:start w:val="1"/>
      <w:numFmt w:val="decimal"/>
      <w:isLgl w:val="false"/>
      <w:suff w:val="tab"/>
      <w:lvlText w:val="%1.%2.%3.%4.%5.%6.%7"/>
      <w:lvlJc w:val="left"/>
      <w:pPr>
        <w:pStyle w:val="1094"/>
        <w:ind w:left="900" w:hanging="900"/>
        <w:tabs>
          <w:tab w:val="num" w:pos="900" w:leader="none"/>
        </w:tabs>
      </w:pPr>
      <w:rPr>
        <w:rFonts w:hint="eastAsia"/>
      </w:rPr>
    </w:lvl>
    <w:lvl w:ilvl="7">
      <w:start w:val="1"/>
      <w:numFmt w:val="decimal"/>
      <w:isLgl w:val="false"/>
      <w:suff w:val="tab"/>
      <w:lvlText w:val="%1.%2.%3.%4.%5.%6.%7.%8"/>
      <w:lvlJc w:val="left"/>
      <w:pPr>
        <w:pStyle w:val="1094"/>
        <w:ind w:left="900" w:hanging="900"/>
        <w:tabs>
          <w:tab w:val="num" w:pos="900" w:leader="none"/>
        </w:tabs>
      </w:pPr>
      <w:rPr>
        <w:rFonts w:hint="eastAsia"/>
      </w:rPr>
    </w:lvl>
    <w:lvl w:ilvl="8">
      <w:start w:val="1"/>
      <w:numFmt w:val="decimal"/>
      <w:isLgl w:val="false"/>
      <w:suff w:val="tab"/>
      <w:lvlText w:val="%1.%2.%3.%4.%5.%6.%7.%8.%9"/>
      <w:lvlJc w:val="left"/>
      <w:pPr>
        <w:pStyle w:val="1094"/>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1094"/>
        <w:ind w:left="900" w:hanging="900"/>
        <w:tabs>
          <w:tab w:val="num" w:pos="900" w:leader="none"/>
        </w:tabs>
      </w:pPr>
      <w:rPr>
        <w:rFonts w:hint="eastAsia"/>
      </w:rPr>
    </w:lvl>
    <w:lvl w:ilvl="1">
      <w:start w:val="1"/>
      <w:numFmt w:val="decimal"/>
      <w:isLgl w:val="false"/>
      <w:suff w:val="tab"/>
      <w:lvlText w:val="%1.%2"/>
      <w:lvlJc w:val="left"/>
      <w:pPr>
        <w:pStyle w:val="109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94"/>
        <w:ind w:left="1980" w:hanging="900"/>
        <w:tabs>
          <w:tab w:val="num" w:pos="1980" w:leader="none"/>
        </w:tabs>
      </w:pPr>
      <w:rPr>
        <w:rFonts w:hint="eastAsia"/>
      </w:rPr>
    </w:lvl>
    <w:lvl w:ilvl="3">
      <w:start w:val="1"/>
      <w:numFmt w:val="decimal"/>
      <w:isLgl w:val="false"/>
      <w:suff w:val="tab"/>
      <w:lvlText w:val="%1.%2.%3.%4"/>
      <w:lvlJc w:val="left"/>
      <w:pPr>
        <w:pStyle w:val="1094"/>
        <w:ind w:left="900" w:hanging="900"/>
        <w:tabs>
          <w:tab w:val="num" w:pos="900" w:leader="none"/>
        </w:tabs>
      </w:pPr>
      <w:rPr>
        <w:rFonts w:hint="eastAsia"/>
      </w:rPr>
    </w:lvl>
    <w:lvl w:ilvl="4">
      <w:start w:val="1"/>
      <w:numFmt w:val="decimal"/>
      <w:isLgl w:val="false"/>
      <w:suff w:val="tab"/>
      <w:lvlText w:val="%1.%2.%3.%4.%5"/>
      <w:lvlJc w:val="left"/>
      <w:pPr>
        <w:pStyle w:val="1094"/>
        <w:ind w:left="900" w:hanging="900"/>
        <w:tabs>
          <w:tab w:val="num" w:pos="900" w:leader="none"/>
        </w:tabs>
      </w:pPr>
      <w:rPr>
        <w:rFonts w:hint="eastAsia"/>
      </w:rPr>
    </w:lvl>
    <w:lvl w:ilvl="5">
      <w:start w:val="1"/>
      <w:numFmt w:val="decimal"/>
      <w:isLgl w:val="false"/>
      <w:suff w:val="tab"/>
      <w:lvlText w:val="%1.%2.%3.%4.%5.%6"/>
      <w:lvlJc w:val="left"/>
      <w:pPr>
        <w:pStyle w:val="1094"/>
        <w:ind w:left="900" w:hanging="900"/>
        <w:tabs>
          <w:tab w:val="num" w:pos="900" w:leader="none"/>
        </w:tabs>
      </w:pPr>
      <w:rPr>
        <w:rFonts w:hint="eastAsia"/>
      </w:rPr>
    </w:lvl>
    <w:lvl w:ilvl="6">
      <w:start w:val="1"/>
      <w:numFmt w:val="decimal"/>
      <w:isLgl w:val="false"/>
      <w:suff w:val="tab"/>
      <w:lvlText w:val="%1.%2.%3.%4.%5.%6.%7"/>
      <w:lvlJc w:val="left"/>
      <w:pPr>
        <w:pStyle w:val="1094"/>
        <w:ind w:left="900" w:hanging="900"/>
        <w:tabs>
          <w:tab w:val="num" w:pos="900" w:leader="none"/>
        </w:tabs>
      </w:pPr>
      <w:rPr>
        <w:rFonts w:hint="eastAsia"/>
      </w:rPr>
    </w:lvl>
    <w:lvl w:ilvl="7">
      <w:start w:val="1"/>
      <w:numFmt w:val="decimal"/>
      <w:isLgl w:val="false"/>
      <w:suff w:val="tab"/>
      <w:lvlText w:val="%1.%2.%3.%4.%5.%6.%7.%8"/>
      <w:lvlJc w:val="left"/>
      <w:pPr>
        <w:pStyle w:val="1094"/>
        <w:ind w:left="900" w:hanging="900"/>
        <w:tabs>
          <w:tab w:val="num" w:pos="900" w:leader="none"/>
        </w:tabs>
      </w:pPr>
      <w:rPr>
        <w:rFonts w:hint="eastAsia"/>
      </w:rPr>
    </w:lvl>
    <w:lvl w:ilvl="8">
      <w:start w:val="1"/>
      <w:numFmt w:val="decimal"/>
      <w:isLgl w:val="false"/>
      <w:suff w:val="tab"/>
      <w:lvlText w:val="%1.%2.%3.%4.%5.%6.%7.%8.%9"/>
      <w:lvlJc w:val="left"/>
      <w:pPr>
        <w:pStyle w:val="1094"/>
        <w:ind w:left="900" w:hanging="900"/>
        <w:tabs>
          <w:tab w:val="num" w:pos="900" w:leader="none"/>
        </w:tabs>
      </w:pPr>
      <w:rPr>
        <w:rFonts w:hint="eastAsia"/>
      </w:rPr>
    </w:lvl>
  </w:abstractNum>
  <w:abstractNum w:abstractNumId="17">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4"/>
  </w:num>
  <w:num w:numId="3">
    <w:abstractNumId w:val="6"/>
  </w:num>
  <w:num w:numId="4">
    <w:abstractNumId w:val="12"/>
  </w:num>
  <w:num w:numId="5">
    <w:abstractNumId w:val="7"/>
  </w:num>
  <w:num w:numId="6">
    <w:abstractNumId w:val="10"/>
  </w:num>
  <w:num w:numId="7">
    <w:abstractNumId w:val="8"/>
  </w:num>
  <w:num w:numId="8">
    <w:abstractNumId w:val="11"/>
  </w:num>
  <w:num w:numId="9">
    <w:abstractNumId w:val="16"/>
  </w:num>
  <w:num w:numId="10">
    <w:abstractNumId w:val="5"/>
  </w:num>
  <w:num w:numId="11">
    <w:abstractNumId w:val="15"/>
  </w:num>
  <w:num w:numId="12">
    <w:abstractNumId w:val="22"/>
  </w:num>
  <w:num w:numId="13">
    <w:abstractNumId w:val="18"/>
  </w:num>
  <w:num w:numId="14">
    <w:abstractNumId w:val="23"/>
  </w:num>
  <w:num w:numId="15">
    <w:abstractNumId w:val="0"/>
  </w:num>
  <w:num w:numId="16">
    <w:abstractNumId w:val="24"/>
  </w:num>
  <w:num w:numId="17">
    <w:abstractNumId w:val="19"/>
  </w:num>
  <w:num w:numId="18">
    <w:abstractNumId w:val="2"/>
  </w:num>
  <w:num w:numId="19">
    <w:abstractNumId w:val="21"/>
  </w:num>
  <w:num w:numId="20">
    <w:abstractNumId w:val="17"/>
  </w:num>
  <w:num w:numId="21">
    <w:abstractNumId w:val="20"/>
  </w:num>
  <w:num w:numId="22">
    <w:abstractNumId w:val="3"/>
  </w:num>
  <w:num w:numId="23">
    <w:abstractNumId w:val="4"/>
  </w:num>
  <w:num w:numId="24">
    <w:abstractNumId w:val="1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1094"/>
    <w:next w:val="1094"/>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1094"/>
    <w:next w:val="1094"/>
    <w:link w:val="920"/>
    <w:uiPriority w:val="9"/>
    <w:unhideWhenUsed/>
    <w:qFormat/>
    <w:pPr>
      <w:keepLines/>
      <w:keepNext/>
      <w:spacing w:before="360" w:after="200"/>
      <w:outlineLvl w:val="1"/>
    </w:pPr>
    <w:rPr>
      <w:rFonts w:ascii="Arial" w:hAnsi="Arial" w:eastAsia="Arial" w:cs="Arial"/>
      <w:sz w:val="34"/>
    </w:rPr>
  </w:style>
  <w:style w:type="character" w:styleId="920">
    <w:name w:val="Heading 2 Char"/>
    <w:link w:val="919"/>
    <w:uiPriority w:val="9"/>
    <w:rPr>
      <w:rFonts w:ascii="Arial" w:hAnsi="Arial" w:eastAsia="Arial" w:cs="Arial"/>
      <w:sz w:val="34"/>
    </w:rPr>
  </w:style>
  <w:style w:type="paragraph" w:styleId="921">
    <w:name w:val="Heading 3"/>
    <w:basedOn w:val="1094"/>
    <w:next w:val="1094"/>
    <w:link w:val="922"/>
    <w:uiPriority w:val="9"/>
    <w:unhideWhenUsed/>
    <w:qFormat/>
    <w:pPr>
      <w:keepLines/>
      <w:keepNext/>
      <w:spacing w:before="320" w:after="200"/>
      <w:outlineLvl w:val="2"/>
    </w:pPr>
    <w:rPr>
      <w:rFonts w:ascii="Arial" w:hAnsi="Arial" w:eastAsia="Arial" w:cs="Arial"/>
      <w:sz w:val="30"/>
      <w:szCs w:val="30"/>
    </w:rPr>
  </w:style>
  <w:style w:type="character" w:styleId="922">
    <w:name w:val="Heading 3 Char"/>
    <w:link w:val="921"/>
    <w:uiPriority w:val="9"/>
    <w:rPr>
      <w:rFonts w:ascii="Arial" w:hAnsi="Arial" w:eastAsia="Arial" w:cs="Arial"/>
      <w:sz w:val="30"/>
      <w:szCs w:val="30"/>
    </w:rPr>
  </w:style>
  <w:style w:type="paragraph" w:styleId="923">
    <w:name w:val="Heading 4"/>
    <w:basedOn w:val="1094"/>
    <w:next w:val="1094"/>
    <w:link w:val="924"/>
    <w:uiPriority w:val="9"/>
    <w:unhideWhenUsed/>
    <w:qFormat/>
    <w:pPr>
      <w:keepLines/>
      <w:keepNext/>
      <w:spacing w:before="320" w:after="200"/>
      <w:outlineLvl w:val="3"/>
    </w:pPr>
    <w:rPr>
      <w:rFonts w:ascii="Arial" w:hAnsi="Arial" w:eastAsia="Arial" w:cs="Arial"/>
      <w:b/>
      <w:bCs/>
      <w:sz w:val="26"/>
      <w:szCs w:val="26"/>
    </w:rPr>
  </w:style>
  <w:style w:type="character" w:styleId="924">
    <w:name w:val="Heading 4 Char"/>
    <w:link w:val="923"/>
    <w:uiPriority w:val="9"/>
    <w:rPr>
      <w:rFonts w:ascii="Arial" w:hAnsi="Arial" w:eastAsia="Arial" w:cs="Arial"/>
      <w:b/>
      <w:bCs/>
      <w:sz w:val="26"/>
      <w:szCs w:val="26"/>
    </w:rPr>
  </w:style>
  <w:style w:type="paragraph" w:styleId="925">
    <w:name w:val="Heading 5"/>
    <w:basedOn w:val="1094"/>
    <w:next w:val="1094"/>
    <w:link w:val="926"/>
    <w:uiPriority w:val="9"/>
    <w:unhideWhenUsed/>
    <w:qFormat/>
    <w:pPr>
      <w:keepLines/>
      <w:keepNext/>
      <w:spacing w:before="320" w:after="200"/>
      <w:outlineLvl w:val="4"/>
    </w:pPr>
    <w:rPr>
      <w:rFonts w:ascii="Arial" w:hAnsi="Arial" w:eastAsia="Arial" w:cs="Arial"/>
      <w:b/>
      <w:bCs/>
      <w:sz w:val="24"/>
      <w:szCs w:val="24"/>
    </w:rPr>
  </w:style>
  <w:style w:type="character" w:styleId="926">
    <w:name w:val="Heading 5 Char"/>
    <w:link w:val="925"/>
    <w:uiPriority w:val="9"/>
    <w:rPr>
      <w:rFonts w:ascii="Arial" w:hAnsi="Arial" w:eastAsia="Arial" w:cs="Arial"/>
      <w:b/>
      <w:bCs/>
      <w:sz w:val="24"/>
      <w:szCs w:val="24"/>
    </w:rPr>
  </w:style>
  <w:style w:type="paragraph" w:styleId="927">
    <w:name w:val="Heading 6"/>
    <w:basedOn w:val="1094"/>
    <w:next w:val="1094"/>
    <w:link w:val="928"/>
    <w:uiPriority w:val="9"/>
    <w:unhideWhenUsed/>
    <w:qFormat/>
    <w:pPr>
      <w:keepLines/>
      <w:keepNext/>
      <w:spacing w:before="320" w:after="200"/>
      <w:outlineLvl w:val="5"/>
    </w:pPr>
    <w:rPr>
      <w:rFonts w:ascii="Arial" w:hAnsi="Arial" w:eastAsia="Arial" w:cs="Arial"/>
      <w:b/>
      <w:bCs/>
      <w:sz w:val="22"/>
      <w:szCs w:val="22"/>
    </w:rPr>
  </w:style>
  <w:style w:type="character" w:styleId="928">
    <w:name w:val="Heading 6 Char"/>
    <w:link w:val="927"/>
    <w:uiPriority w:val="9"/>
    <w:rPr>
      <w:rFonts w:ascii="Arial" w:hAnsi="Arial" w:eastAsia="Arial" w:cs="Arial"/>
      <w:b/>
      <w:bCs/>
      <w:sz w:val="22"/>
      <w:szCs w:val="22"/>
    </w:rPr>
  </w:style>
  <w:style w:type="paragraph" w:styleId="929">
    <w:name w:val="Heading 7"/>
    <w:basedOn w:val="1094"/>
    <w:next w:val="1094"/>
    <w:link w:val="930"/>
    <w:uiPriority w:val="9"/>
    <w:unhideWhenUsed/>
    <w:qFormat/>
    <w:pPr>
      <w:keepLines/>
      <w:keepNext/>
      <w:spacing w:before="320" w:after="200"/>
      <w:outlineLvl w:val="6"/>
    </w:pPr>
    <w:rPr>
      <w:rFonts w:ascii="Arial" w:hAnsi="Arial" w:eastAsia="Arial" w:cs="Arial"/>
      <w:b/>
      <w:bCs/>
      <w:i/>
      <w:iCs/>
      <w:sz w:val="22"/>
      <w:szCs w:val="22"/>
    </w:rPr>
  </w:style>
  <w:style w:type="character" w:styleId="930">
    <w:name w:val="Heading 7 Char"/>
    <w:link w:val="929"/>
    <w:uiPriority w:val="9"/>
    <w:rPr>
      <w:rFonts w:ascii="Arial" w:hAnsi="Arial" w:eastAsia="Arial" w:cs="Arial"/>
      <w:b/>
      <w:bCs/>
      <w:i/>
      <w:iCs/>
      <w:sz w:val="22"/>
      <w:szCs w:val="22"/>
    </w:rPr>
  </w:style>
  <w:style w:type="paragraph" w:styleId="931">
    <w:name w:val="Heading 8"/>
    <w:basedOn w:val="1094"/>
    <w:next w:val="1094"/>
    <w:link w:val="932"/>
    <w:uiPriority w:val="9"/>
    <w:unhideWhenUsed/>
    <w:qFormat/>
    <w:pPr>
      <w:keepLines/>
      <w:keepNext/>
      <w:spacing w:before="320" w:after="200"/>
      <w:outlineLvl w:val="7"/>
    </w:pPr>
    <w:rPr>
      <w:rFonts w:ascii="Arial" w:hAnsi="Arial" w:eastAsia="Arial" w:cs="Arial"/>
      <w:i/>
      <w:iCs/>
      <w:sz w:val="22"/>
      <w:szCs w:val="22"/>
    </w:rPr>
  </w:style>
  <w:style w:type="character" w:styleId="932">
    <w:name w:val="Heading 8 Char"/>
    <w:link w:val="931"/>
    <w:uiPriority w:val="9"/>
    <w:rPr>
      <w:rFonts w:ascii="Arial" w:hAnsi="Arial" w:eastAsia="Arial" w:cs="Arial"/>
      <w:i/>
      <w:iCs/>
      <w:sz w:val="22"/>
      <w:szCs w:val="22"/>
    </w:rPr>
  </w:style>
  <w:style w:type="paragraph" w:styleId="933">
    <w:name w:val="Heading 9"/>
    <w:basedOn w:val="1094"/>
    <w:next w:val="1094"/>
    <w:link w:val="934"/>
    <w:uiPriority w:val="9"/>
    <w:unhideWhenUsed/>
    <w:qFormat/>
    <w:pPr>
      <w:keepLines/>
      <w:keepNext/>
      <w:spacing w:before="320" w:after="200"/>
      <w:outlineLvl w:val="8"/>
    </w:pPr>
    <w:rPr>
      <w:rFonts w:ascii="Arial" w:hAnsi="Arial" w:eastAsia="Arial" w:cs="Arial"/>
      <w:i/>
      <w:iCs/>
      <w:sz w:val="21"/>
      <w:szCs w:val="21"/>
    </w:rPr>
  </w:style>
  <w:style w:type="character" w:styleId="934">
    <w:name w:val="Heading 9 Char"/>
    <w:link w:val="933"/>
    <w:uiPriority w:val="9"/>
    <w:rPr>
      <w:rFonts w:ascii="Arial" w:hAnsi="Arial" w:eastAsia="Arial" w:cs="Arial"/>
      <w:i/>
      <w:iCs/>
      <w:sz w:val="21"/>
      <w:szCs w:val="21"/>
    </w:rPr>
  </w:style>
  <w:style w:type="paragraph" w:styleId="935">
    <w:name w:val="No Spacing"/>
    <w:uiPriority w:val="1"/>
    <w:qFormat/>
    <w:pPr>
      <w:spacing w:before="0" w:after="0" w:line="240" w:lineRule="auto"/>
    </w:pPr>
  </w:style>
  <w:style w:type="paragraph" w:styleId="936">
    <w:name w:val="Title"/>
    <w:basedOn w:val="1094"/>
    <w:next w:val="1094"/>
    <w:link w:val="937"/>
    <w:uiPriority w:val="10"/>
    <w:qFormat/>
    <w:pPr>
      <w:contextualSpacing/>
      <w:spacing w:before="300" w:after="200"/>
    </w:pPr>
    <w:rPr>
      <w:sz w:val="48"/>
      <w:szCs w:val="48"/>
    </w:rPr>
  </w:style>
  <w:style w:type="character" w:styleId="937">
    <w:name w:val="Title Char"/>
    <w:link w:val="936"/>
    <w:uiPriority w:val="10"/>
    <w:rPr>
      <w:sz w:val="48"/>
      <w:szCs w:val="48"/>
    </w:rPr>
  </w:style>
  <w:style w:type="paragraph" w:styleId="938">
    <w:name w:val="Subtitle"/>
    <w:basedOn w:val="1094"/>
    <w:next w:val="1094"/>
    <w:link w:val="939"/>
    <w:uiPriority w:val="11"/>
    <w:qFormat/>
    <w:pPr>
      <w:spacing w:before="200" w:after="200"/>
    </w:pPr>
    <w:rPr>
      <w:sz w:val="24"/>
      <w:szCs w:val="24"/>
    </w:rPr>
  </w:style>
  <w:style w:type="character" w:styleId="939">
    <w:name w:val="Subtitle Char"/>
    <w:link w:val="938"/>
    <w:uiPriority w:val="11"/>
    <w:rPr>
      <w:sz w:val="24"/>
      <w:szCs w:val="24"/>
    </w:rPr>
  </w:style>
  <w:style w:type="paragraph" w:styleId="940">
    <w:name w:val="Quote"/>
    <w:basedOn w:val="1094"/>
    <w:next w:val="1094"/>
    <w:link w:val="941"/>
    <w:uiPriority w:val="29"/>
    <w:qFormat/>
    <w:pPr>
      <w:ind w:left="720" w:right="720"/>
    </w:pPr>
    <w:rPr>
      <w:i/>
    </w:rPr>
  </w:style>
  <w:style w:type="character" w:styleId="941">
    <w:name w:val="Quote Char"/>
    <w:link w:val="940"/>
    <w:uiPriority w:val="29"/>
    <w:rPr>
      <w:i/>
    </w:rPr>
  </w:style>
  <w:style w:type="paragraph" w:styleId="942">
    <w:name w:val="Intense Quote"/>
    <w:basedOn w:val="1094"/>
    <w:next w:val="1094"/>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Intense Quote Char"/>
    <w:link w:val="942"/>
    <w:uiPriority w:val="30"/>
    <w:rPr>
      <w:i/>
    </w:rPr>
  </w:style>
  <w:style w:type="paragraph" w:styleId="944">
    <w:name w:val="Header"/>
    <w:basedOn w:val="1094"/>
    <w:link w:val="945"/>
    <w:uiPriority w:val="99"/>
    <w:unhideWhenUsed/>
    <w:pPr>
      <w:spacing w:after="0" w:line="240" w:lineRule="auto"/>
      <w:tabs>
        <w:tab w:val="center" w:pos="7143" w:leader="none"/>
        <w:tab w:val="right" w:pos="14287" w:leader="none"/>
      </w:tabs>
    </w:pPr>
  </w:style>
  <w:style w:type="character" w:styleId="945">
    <w:name w:val="Header Char"/>
    <w:link w:val="944"/>
    <w:uiPriority w:val="99"/>
  </w:style>
  <w:style w:type="paragraph" w:styleId="946">
    <w:name w:val="Footer"/>
    <w:basedOn w:val="1094"/>
    <w:link w:val="949"/>
    <w:uiPriority w:val="99"/>
    <w:unhideWhenUsed/>
    <w:pPr>
      <w:spacing w:after="0" w:line="240" w:lineRule="auto"/>
      <w:tabs>
        <w:tab w:val="center" w:pos="7143" w:leader="none"/>
        <w:tab w:val="right" w:pos="14287" w:leader="none"/>
      </w:tabs>
    </w:pPr>
  </w:style>
  <w:style w:type="character" w:styleId="947">
    <w:name w:val="Footer Char"/>
    <w:link w:val="946"/>
    <w:uiPriority w:val="99"/>
  </w:style>
  <w:style w:type="paragraph" w:styleId="948">
    <w:name w:val="Caption"/>
    <w:basedOn w:val="1094"/>
    <w:next w:val="1094"/>
    <w:uiPriority w:val="35"/>
    <w:semiHidden/>
    <w:unhideWhenUsed/>
    <w:qFormat/>
    <w:pPr>
      <w:spacing w:line="276" w:lineRule="auto"/>
    </w:pPr>
    <w:rPr>
      <w:b/>
      <w:bCs/>
      <w:color w:val="4f81bd" w:themeColor="accent1"/>
      <w:sz w:val="18"/>
      <w:szCs w:val="18"/>
    </w:rPr>
  </w:style>
  <w:style w:type="character" w:styleId="949">
    <w:name w:val="Caption Char"/>
    <w:basedOn w:val="948"/>
    <w:link w:val="946"/>
    <w:uiPriority w:val="99"/>
  </w:style>
  <w:style w:type="table" w:styleId="9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6">
    <w:name w:val="Hyperlink"/>
    <w:uiPriority w:val="99"/>
    <w:unhideWhenUsed/>
    <w:rPr>
      <w:color w:val="0000ff" w:themeColor="hyperlink"/>
      <w:u w:val="single"/>
    </w:rPr>
  </w:style>
  <w:style w:type="paragraph" w:styleId="1077">
    <w:name w:val="footnote text"/>
    <w:basedOn w:val="1094"/>
    <w:link w:val="1078"/>
    <w:uiPriority w:val="99"/>
    <w:semiHidden/>
    <w:unhideWhenUsed/>
    <w:pPr>
      <w:spacing w:after="40" w:line="240" w:lineRule="auto"/>
    </w:pPr>
    <w:rPr>
      <w:sz w:val="18"/>
    </w:rPr>
  </w:style>
  <w:style w:type="character" w:styleId="1078">
    <w:name w:val="Footnote Text Char"/>
    <w:link w:val="1077"/>
    <w:uiPriority w:val="99"/>
    <w:rPr>
      <w:sz w:val="18"/>
    </w:rPr>
  </w:style>
  <w:style w:type="character" w:styleId="1079">
    <w:name w:val="footnote reference"/>
    <w:uiPriority w:val="99"/>
    <w:unhideWhenUsed/>
    <w:rPr>
      <w:vertAlign w:val="superscript"/>
    </w:rPr>
  </w:style>
  <w:style w:type="paragraph" w:styleId="1080">
    <w:name w:val="endnote text"/>
    <w:basedOn w:val="1094"/>
    <w:link w:val="1081"/>
    <w:uiPriority w:val="99"/>
    <w:semiHidden/>
    <w:unhideWhenUsed/>
    <w:pPr>
      <w:spacing w:after="0" w:line="240" w:lineRule="auto"/>
    </w:pPr>
    <w:rPr>
      <w:sz w:val="20"/>
    </w:rPr>
  </w:style>
  <w:style w:type="character" w:styleId="1081">
    <w:name w:val="Endnote Text Char"/>
    <w:link w:val="1080"/>
    <w:uiPriority w:val="99"/>
    <w:rPr>
      <w:sz w:val="20"/>
    </w:rPr>
  </w:style>
  <w:style w:type="character" w:styleId="1082">
    <w:name w:val="endnote reference"/>
    <w:uiPriority w:val="99"/>
    <w:semiHidden/>
    <w:unhideWhenUsed/>
    <w:rPr>
      <w:vertAlign w:val="superscript"/>
    </w:rPr>
  </w:style>
  <w:style w:type="paragraph" w:styleId="1083">
    <w:name w:val="toc 1"/>
    <w:basedOn w:val="1094"/>
    <w:next w:val="1094"/>
    <w:uiPriority w:val="39"/>
    <w:unhideWhenUsed/>
    <w:pPr>
      <w:ind w:left="0" w:right="0" w:firstLine="0"/>
      <w:spacing w:after="57"/>
    </w:p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106"/>
    <w:link w:val="1094"/>
    <w:qFormat/>
    <w:pPr>
      <w:jc w:val="both"/>
      <w:widowControl w:val="off"/>
    </w:pPr>
    <w:rPr>
      <w:sz w:val="21"/>
      <w:szCs w:val="24"/>
      <w:lang w:val="en-US" w:eastAsia="zh-CN" w:bidi="ar-SA"/>
    </w:rPr>
  </w:style>
  <w:style w:type="paragraph" w:styleId="1095">
    <w:name w:val="标题 1"/>
    <w:basedOn w:val="1094"/>
    <w:next w:val="1094"/>
    <w:link w:val="1111"/>
    <w:qFormat/>
    <w:pPr>
      <w:jc w:val="center"/>
      <w:keepLines/>
      <w:keepNext/>
      <w:spacing w:before="240" w:after="120" w:line="300" w:lineRule="auto"/>
      <w:outlineLvl w:val="0"/>
    </w:pPr>
    <w:rPr>
      <w:rFonts w:ascii="宋体"/>
      <w:b/>
      <w:sz w:val="32"/>
      <w:szCs w:val="20"/>
    </w:rPr>
  </w:style>
  <w:style w:type="paragraph" w:styleId="1096">
    <w:name w:val="标题 2"/>
    <w:basedOn w:val="1094"/>
    <w:next w:val="1113"/>
    <w:link w:val="1112"/>
    <w:qFormat/>
    <w:pPr>
      <w:jc w:val="center"/>
      <w:keepLines/>
      <w:keepNext/>
      <w:spacing w:before="120" w:line="300" w:lineRule="auto"/>
      <w:outlineLvl w:val="1"/>
    </w:pPr>
    <w:rPr>
      <w:rFonts w:ascii="Arial" w:hAnsi="Arial" w:eastAsia="黑体"/>
      <w:b/>
      <w:sz w:val="30"/>
      <w:szCs w:val="20"/>
    </w:rPr>
  </w:style>
  <w:style w:type="paragraph" w:styleId="1097">
    <w:name w:val="标题 3"/>
    <w:basedOn w:val="1094"/>
    <w:next w:val="1094"/>
    <w:link w:val="1115"/>
    <w:qFormat/>
    <w:pPr>
      <w:jc w:val="left"/>
      <w:keepLines/>
      <w:keepNext/>
      <w:spacing w:before="360" w:after="120"/>
      <w:outlineLvl w:val="2"/>
    </w:pPr>
    <w:rPr>
      <w:rFonts w:ascii="宋体"/>
      <w:b/>
      <w:sz w:val="24"/>
      <w:szCs w:val="20"/>
      <w:u w:val="single"/>
    </w:rPr>
  </w:style>
  <w:style w:type="paragraph" w:styleId="1098">
    <w:name w:val="标题 4"/>
    <w:basedOn w:val="1094"/>
    <w:next w:val="1094"/>
    <w:link w:val="1116"/>
    <w:qFormat/>
    <w:pPr>
      <w:keepLines/>
      <w:keepNext/>
      <w:spacing w:before="280" w:after="290" w:line="376" w:lineRule="atLeast"/>
      <w:outlineLvl w:val="3"/>
    </w:pPr>
    <w:rPr>
      <w:rFonts w:ascii="Arial" w:hAnsi="Arial" w:eastAsia="黑体"/>
      <w:b/>
      <w:sz w:val="28"/>
      <w:szCs w:val="20"/>
    </w:rPr>
  </w:style>
  <w:style w:type="paragraph" w:styleId="1099">
    <w:name w:val="标题 5"/>
    <w:basedOn w:val="1094"/>
    <w:next w:val="1094"/>
    <w:link w:val="1117"/>
    <w:qFormat/>
    <w:pPr>
      <w:keepLines/>
      <w:keepNext/>
      <w:spacing w:before="280" w:after="290" w:line="376" w:lineRule="atLeast"/>
      <w:outlineLvl w:val="4"/>
    </w:pPr>
    <w:rPr>
      <w:b/>
      <w:sz w:val="28"/>
      <w:szCs w:val="20"/>
    </w:rPr>
  </w:style>
  <w:style w:type="paragraph" w:styleId="1100">
    <w:name w:val="标题 6"/>
    <w:basedOn w:val="1094"/>
    <w:next w:val="1094"/>
    <w:link w:val="1118"/>
    <w:qFormat/>
    <w:pPr>
      <w:keepLines/>
      <w:keepNext/>
      <w:spacing w:before="240" w:after="64" w:line="320" w:lineRule="atLeast"/>
      <w:outlineLvl w:val="5"/>
    </w:pPr>
    <w:rPr>
      <w:rFonts w:ascii="Arial" w:hAnsi="Arial" w:eastAsia="黑体"/>
      <w:b/>
      <w:sz w:val="24"/>
      <w:szCs w:val="20"/>
    </w:rPr>
  </w:style>
  <w:style w:type="paragraph" w:styleId="1101">
    <w:name w:val="标题 7"/>
    <w:basedOn w:val="1094"/>
    <w:next w:val="1094"/>
    <w:link w:val="1119"/>
    <w:qFormat/>
    <w:pPr>
      <w:keepLines/>
      <w:keepNext/>
      <w:spacing w:before="240" w:after="64" w:line="320" w:lineRule="atLeast"/>
      <w:outlineLvl w:val="6"/>
    </w:pPr>
    <w:rPr>
      <w:b/>
      <w:sz w:val="24"/>
      <w:szCs w:val="20"/>
    </w:rPr>
  </w:style>
  <w:style w:type="paragraph" w:styleId="1102">
    <w:name w:val="标题 8"/>
    <w:basedOn w:val="1094"/>
    <w:next w:val="1094"/>
    <w:link w:val="1120"/>
    <w:qFormat/>
    <w:pPr>
      <w:keepLines/>
      <w:keepNext/>
      <w:spacing w:before="240" w:after="64" w:line="320" w:lineRule="atLeast"/>
      <w:outlineLvl w:val="7"/>
    </w:pPr>
    <w:rPr>
      <w:rFonts w:ascii="Arial" w:hAnsi="Arial" w:eastAsia="黑体"/>
      <w:sz w:val="24"/>
      <w:szCs w:val="20"/>
    </w:rPr>
  </w:style>
  <w:style w:type="paragraph" w:styleId="1103">
    <w:name w:val="标题 9"/>
    <w:basedOn w:val="1094"/>
    <w:next w:val="1094"/>
    <w:link w:val="1121"/>
    <w:qFormat/>
    <w:pPr>
      <w:keepLines/>
      <w:keepNext/>
      <w:spacing w:before="240" w:after="64" w:line="320" w:lineRule="atLeast"/>
      <w:outlineLvl w:val="8"/>
    </w:pPr>
    <w:rPr>
      <w:rFonts w:ascii="Arial" w:hAnsi="Arial" w:eastAsia="黑体"/>
      <w:szCs w:val="20"/>
    </w:rPr>
  </w:style>
  <w:style w:type="character" w:styleId="1104">
    <w:name w:val="默认段落字体"/>
    <w:next w:val="1104"/>
    <w:link w:val="1094"/>
    <w:uiPriority w:val="1"/>
    <w:unhideWhenUsed/>
    <w:qFormat/>
  </w:style>
  <w:style w:type="table" w:styleId="1105">
    <w:name w:val="普通表格"/>
    <w:next w:val="1105"/>
    <w:link w:val="1094"/>
    <w:uiPriority w:val="99"/>
    <w:unhideWhenUsed/>
    <w:qFormat/>
    <w:tblPr/>
  </w:style>
  <w:style w:type="paragraph" w:styleId="1106">
    <w:name w:val="正文首行缩进 2"/>
    <w:basedOn w:val="1107"/>
    <w:next w:val="1106"/>
    <w:link w:val="1110"/>
    <w:qFormat/>
    <w:pPr>
      <w:ind w:left="420" w:firstLine="420"/>
      <w:spacing w:after="120" w:line="480" w:lineRule="exact"/>
    </w:pPr>
    <w:rPr>
      <w:szCs w:val="20"/>
    </w:rPr>
  </w:style>
  <w:style w:type="paragraph" w:styleId="1107">
    <w:name w:val="正文文本缩进"/>
    <w:basedOn w:val="1094"/>
    <w:next w:val="1109"/>
    <w:link w:val="1108"/>
    <w:qFormat/>
    <w:pPr>
      <w:ind w:firstLine="570"/>
      <w:spacing w:line="360" w:lineRule="auto"/>
    </w:pPr>
    <w:rPr>
      <w:sz w:val="24"/>
    </w:rPr>
  </w:style>
  <w:style w:type="character" w:styleId="1108">
    <w:name w:val="正文文本缩进 Char2"/>
    <w:next w:val="1108"/>
    <w:link w:val="1107"/>
    <w:qFormat/>
    <w:rPr>
      <w:rFonts w:eastAsia="宋体"/>
      <w:sz w:val="24"/>
      <w:szCs w:val="24"/>
      <w:lang w:val="en-US" w:eastAsia="zh-CN" w:bidi="ar-SA"/>
    </w:rPr>
  </w:style>
  <w:style w:type="paragraph" w:styleId="1109">
    <w:name w:val="寄信人地址"/>
    <w:basedOn w:val="1094"/>
    <w:next w:val="1109"/>
    <w:link w:val="1094"/>
    <w:qFormat/>
    <w:rPr>
      <w:rFonts w:ascii="Arial" w:hAnsi="Arial"/>
    </w:rPr>
  </w:style>
  <w:style w:type="character" w:styleId="1110">
    <w:name w:val="正文首行缩进 2 Char"/>
    <w:basedOn w:val="1108"/>
    <w:next w:val="1110"/>
    <w:link w:val="1106"/>
    <w:qFormat/>
    <w:rPr>
      <w:rFonts w:eastAsia="宋体"/>
      <w:sz w:val="24"/>
      <w:szCs w:val="24"/>
      <w:lang w:val="en-US" w:eastAsia="zh-CN" w:bidi="ar-SA"/>
    </w:rPr>
  </w:style>
  <w:style w:type="character" w:styleId="1111">
    <w:name w:val="标题 1 Char"/>
    <w:basedOn w:val="1104"/>
    <w:next w:val="1111"/>
    <w:link w:val="1095"/>
    <w:qFormat/>
    <w:rPr>
      <w:rFonts w:ascii="宋体"/>
      <w:b/>
      <w:sz w:val="32"/>
    </w:rPr>
  </w:style>
  <w:style w:type="character" w:styleId="1112">
    <w:name w:val="标题 2 Char1"/>
    <w:next w:val="1112"/>
    <w:link w:val="1096"/>
    <w:qFormat/>
    <w:rPr>
      <w:rFonts w:ascii="Arial" w:hAnsi="Arial" w:eastAsia="黑体"/>
      <w:b/>
      <w:sz w:val="30"/>
      <w:lang w:val="en-US" w:eastAsia="zh-CN" w:bidi="ar-SA"/>
    </w:rPr>
  </w:style>
  <w:style w:type="paragraph" w:styleId="1113">
    <w:name w:val="正文缩进"/>
    <w:basedOn w:val="1094"/>
    <w:next w:val="1094"/>
    <w:link w:val="1114"/>
    <w:qFormat/>
    <w:pPr>
      <w:ind w:firstLine="420"/>
      <w:jc w:val="left"/>
    </w:pPr>
    <w:rPr>
      <w:rFonts w:ascii="宋体"/>
      <w:sz w:val="24"/>
    </w:rPr>
  </w:style>
  <w:style w:type="character" w:styleId="1114">
    <w:name w:val="正文缩进 Char1"/>
    <w:next w:val="1114"/>
    <w:link w:val="1113"/>
    <w:qFormat/>
    <w:rPr>
      <w:rFonts w:ascii="宋体" w:eastAsia="宋体"/>
      <w:sz w:val="24"/>
      <w:szCs w:val="24"/>
      <w:lang w:val="en-US" w:eastAsia="zh-CN" w:bidi="ar-SA"/>
    </w:rPr>
  </w:style>
  <w:style w:type="character" w:styleId="1115">
    <w:name w:val="标题 3 Char1"/>
    <w:next w:val="1115"/>
    <w:link w:val="1097"/>
    <w:qFormat/>
    <w:rPr>
      <w:rFonts w:ascii="宋体" w:eastAsia="宋体"/>
      <w:b/>
      <w:sz w:val="24"/>
      <w:u w:val="single"/>
      <w:lang w:val="en-US" w:eastAsia="zh-CN" w:bidi="ar-SA"/>
    </w:rPr>
  </w:style>
  <w:style w:type="character" w:styleId="1116">
    <w:name w:val="标题 4 Char"/>
    <w:basedOn w:val="1104"/>
    <w:next w:val="1116"/>
    <w:link w:val="1098"/>
    <w:qFormat/>
    <w:rPr>
      <w:rFonts w:ascii="Arial" w:hAnsi="Arial" w:eastAsia="黑体"/>
      <w:b/>
      <w:sz w:val="28"/>
    </w:rPr>
  </w:style>
  <w:style w:type="character" w:styleId="1117">
    <w:name w:val="标题 5 Char"/>
    <w:basedOn w:val="1104"/>
    <w:next w:val="1117"/>
    <w:link w:val="1099"/>
    <w:qFormat/>
    <w:rPr>
      <w:b/>
      <w:sz w:val="28"/>
    </w:rPr>
  </w:style>
  <w:style w:type="character" w:styleId="1118">
    <w:name w:val="标题 6 Char"/>
    <w:basedOn w:val="1104"/>
    <w:next w:val="1118"/>
    <w:link w:val="1100"/>
    <w:qFormat/>
    <w:rPr>
      <w:rFonts w:ascii="Arial" w:hAnsi="Arial" w:eastAsia="黑体"/>
      <w:b/>
      <w:sz w:val="24"/>
    </w:rPr>
  </w:style>
  <w:style w:type="character" w:styleId="1119">
    <w:name w:val="标题 7 Char"/>
    <w:basedOn w:val="1104"/>
    <w:next w:val="1119"/>
    <w:link w:val="1101"/>
    <w:qFormat/>
    <w:rPr>
      <w:b/>
      <w:sz w:val="24"/>
    </w:rPr>
  </w:style>
  <w:style w:type="character" w:styleId="1120">
    <w:name w:val="标题 8 Char"/>
    <w:basedOn w:val="1104"/>
    <w:next w:val="1120"/>
    <w:link w:val="1102"/>
    <w:qFormat/>
    <w:rPr>
      <w:rFonts w:ascii="Arial" w:hAnsi="Arial" w:eastAsia="黑体"/>
      <w:sz w:val="24"/>
    </w:rPr>
  </w:style>
  <w:style w:type="character" w:styleId="1121">
    <w:name w:val="标题 9 Char"/>
    <w:basedOn w:val="1104"/>
    <w:next w:val="1121"/>
    <w:link w:val="1103"/>
    <w:qFormat/>
    <w:rPr>
      <w:rFonts w:ascii="Arial" w:hAnsi="Arial" w:eastAsia="黑体"/>
      <w:sz w:val="21"/>
    </w:rPr>
  </w:style>
  <w:style w:type="paragraph" w:styleId="1122">
    <w:name w:val="目录 7"/>
    <w:basedOn w:val="1094"/>
    <w:next w:val="1094"/>
    <w:link w:val="1094"/>
    <w:qFormat/>
    <w:pPr>
      <w:ind w:left="2520"/>
    </w:pPr>
  </w:style>
  <w:style w:type="paragraph" w:styleId="1123">
    <w:name w:val="题注"/>
    <w:basedOn w:val="1094"/>
    <w:next w:val="1094"/>
    <w:link w:val="1094"/>
    <w:qFormat/>
    <w:pPr>
      <w:spacing w:line="480" w:lineRule="auto"/>
    </w:pPr>
    <w:rPr>
      <w:rFonts w:ascii="华文中宋" w:hAnsi="华文中宋" w:eastAsia="华文中宋"/>
      <w:sz w:val="36"/>
      <w:szCs w:val="20"/>
    </w:rPr>
  </w:style>
  <w:style w:type="paragraph" w:styleId="1124">
    <w:name w:val="索引 5"/>
    <w:basedOn w:val="1094"/>
    <w:next w:val="1094"/>
    <w:link w:val="1094"/>
    <w:uiPriority w:val="99"/>
    <w:unhideWhenUsed/>
    <w:qFormat/>
    <w:pPr>
      <w:ind w:left="800"/>
    </w:pPr>
  </w:style>
  <w:style w:type="paragraph" w:styleId="1125">
    <w:name w:val="文档结构图"/>
    <w:basedOn w:val="1094"/>
    <w:next w:val="1094"/>
    <w:link w:val="1126"/>
    <w:qFormat/>
    <w:pPr>
      <w:shd w:val="clear" w:color="auto" w:fill="000080"/>
    </w:pPr>
  </w:style>
  <w:style w:type="character" w:styleId="1126">
    <w:name w:val="文档结构图 Char"/>
    <w:basedOn w:val="1104"/>
    <w:next w:val="1126"/>
    <w:link w:val="1125"/>
    <w:qFormat/>
    <w:rPr>
      <w:sz w:val="21"/>
      <w:szCs w:val="24"/>
      <w:shd w:val="clear" w:color="auto" w:fill="000080"/>
    </w:rPr>
  </w:style>
  <w:style w:type="paragraph" w:styleId="1127">
    <w:name w:val="批注文字"/>
    <w:basedOn w:val="1094"/>
    <w:next w:val="1127"/>
    <w:link w:val="1128"/>
    <w:uiPriority w:val="99"/>
    <w:qFormat/>
    <w:pPr>
      <w:jc w:val="left"/>
    </w:pPr>
  </w:style>
  <w:style w:type="character" w:styleId="1128">
    <w:name w:val="批注文字 Char1"/>
    <w:next w:val="1128"/>
    <w:link w:val="1127"/>
    <w:uiPriority w:val="99"/>
    <w:qFormat/>
    <w:rPr>
      <w:sz w:val="21"/>
      <w:szCs w:val="24"/>
    </w:rPr>
  </w:style>
  <w:style w:type="paragraph" w:styleId="1129">
    <w:name w:val="正文文本 3"/>
    <w:basedOn w:val="1094"/>
    <w:next w:val="1129"/>
    <w:link w:val="1130"/>
    <w:qFormat/>
    <w:pPr>
      <w:spacing w:after="120"/>
    </w:pPr>
    <w:rPr>
      <w:sz w:val="16"/>
      <w:szCs w:val="16"/>
    </w:rPr>
  </w:style>
  <w:style w:type="character" w:styleId="1130">
    <w:name w:val="正文文本 3 Char"/>
    <w:basedOn w:val="1104"/>
    <w:next w:val="1130"/>
    <w:link w:val="1129"/>
    <w:qFormat/>
    <w:rPr>
      <w:sz w:val="16"/>
      <w:szCs w:val="16"/>
    </w:rPr>
  </w:style>
  <w:style w:type="paragraph" w:styleId="1131">
    <w:name w:val="正文文本"/>
    <w:basedOn w:val="1094"/>
    <w:next w:val="1131"/>
    <w:link w:val="1132"/>
    <w:qFormat/>
    <w:pPr>
      <w:spacing w:before="120" w:line="22" w:lineRule="atLeast"/>
      <w:tabs>
        <w:tab w:val="left" w:pos="567" w:leader="none"/>
      </w:tabs>
    </w:pPr>
    <w:rPr>
      <w:rFonts w:ascii="宋体" w:hAnsi="宋体"/>
      <w:sz w:val="24"/>
    </w:rPr>
  </w:style>
  <w:style w:type="character" w:styleId="1132">
    <w:name w:val="正文文本 Char"/>
    <w:basedOn w:val="1104"/>
    <w:next w:val="1132"/>
    <w:link w:val="1131"/>
    <w:qFormat/>
    <w:rPr>
      <w:rFonts w:ascii="宋体" w:hAnsi="宋体"/>
      <w:sz w:val="24"/>
      <w:szCs w:val="24"/>
    </w:rPr>
  </w:style>
  <w:style w:type="paragraph" w:styleId="1133">
    <w:name w:val="列表 2"/>
    <w:basedOn w:val="1094"/>
    <w:next w:val="1133"/>
    <w:link w:val="1094"/>
    <w:qFormat/>
    <w:pPr>
      <w:ind w:left="100" w:hanging="200"/>
    </w:pPr>
  </w:style>
  <w:style w:type="paragraph" w:styleId="1134">
    <w:name w:val="文本块"/>
    <w:basedOn w:val="1094"/>
    <w:next w:val="1134"/>
    <w:link w:val="1094"/>
    <w:qFormat/>
    <w:pPr>
      <w:ind w:left="480" w:right="-341" w:firstLine="513"/>
      <w:widowControl/>
    </w:pPr>
    <w:rPr>
      <w:sz w:val="24"/>
      <w:szCs w:val="20"/>
    </w:rPr>
  </w:style>
  <w:style w:type="paragraph" w:styleId="1135">
    <w:name w:val="目录 5"/>
    <w:basedOn w:val="1094"/>
    <w:next w:val="1094"/>
    <w:link w:val="1094"/>
    <w:qFormat/>
    <w:pPr>
      <w:ind w:left="1680"/>
    </w:pPr>
  </w:style>
  <w:style w:type="paragraph" w:styleId="1136">
    <w:name w:val="目录 3"/>
    <w:basedOn w:val="1094"/>
    <w:next w:val="1094"/>
    <w:link w:val="1094"/>
    <w:uiPriority w:val="39"/>
    <w:qFormat/>
    <w:pPr>
      <w:ind w:left="840"/>
    </w:pPr>
  </w:style>
  <w:style w:type="paragraph" w:styleId="1137">
    <w:name w:val="纯文本"/>
    <w:basedOn w:val="1094"/>
    <w:next w:val="1113"/>
    <w:link w:val="1138"/>
    <w:qFormat/>
    <w:rPr>
      <w:rFonts w:hint="eastAsia" w:ascii="宋体" w:hAnsi="Courier New"/>
      <w:szCs w:val="20"/>
    </w:rPr>
  </w:style>
  <w:style w:type="character" w:styleId="1138">
    <w:name w:val="纯文本 Char"/>
    <w:basedOn w:val="1104"/>
    <w:next w:val="1138"/>
    <w:link w:val="1137"/>
    <w:qFormat/>
    <w:rPr>
      <w:rFonts w:hint="eastAsia" w:ascii="宋体" w:hAnsi="Courier New" w:eastAsia="宋体" w:cs="宋体"/>
      <w:sz w:val="21"/>
    </w:rPr>
  </w:style>
  <w:style w:type="paragraph" w:styleId="1139">
    <w:name w:val="目录 8"/>
    <w:basedOn w:val="1094"/>
    <w:next w:val="1094"/>
    <w:link w:val="1094"/>
    <w:qFormat/>
    <w:pPr>
      <w:ind w:left="2940"/>
    </w:pPr>
  </w:style>
  <w:style w:type="paragraph" w:styleId="1140">
    <w:name w:val="日期"/>
    <w:basedOn w:val="1094"/>
    <w:next w:val="1094"/>
    <w:link w:val="1141"/>
    <w:qFormat/>
    <w:pPr>
      <w:ind w:left="100"/>
    </w:pPr>
    <w:rPr>
      <w:rFonts w:ascii="仿宋_GB2312" w:hAnsi="宋体" w:eastAsia="仿宋_GB2312"/>
      <w:color w:val="000000"/>
      <w:sz w:val="24"/>
    </w:rPr>
  </w:style>
  <w:style w:type="character" w:styleId="1141">
    <w:name w:val="日期 Char"/>
    <w:basedOn w:val="1104"/>
    <w:next w:val="1141"/>
    <w:link w:val="1140"/>
    <w:qFormat/>
    <w:rPr>
      <w:rFonts w:ascii="仿宋_GB2312" w:hAnsi="宋体" w:eastAsia="仿宋_GB2312"/>
      <w:color w:val="000000"/>
      <w:sz w:val="24"/>
      <w:szCs w:val="24"/>
    </w:rPr>
  </w:style>
  <w:style w:type="paragraph" w:styleId="1142">
    <w:name w:val="正文文本缩进 2"/>
    <w:basedOn w:val="1094"/>
    <w:next w:val="1142"/>
    <w:link w:val="1143"/>
    <w:qFormat/>
    <w:pPr>
      <w:ind w:firstLine="480"/>
    </w:pPr>
    <w:rPr>
      <w:rFonts w:ascii="仿宋_GB2312" w:eastAsia="仿宋_GB2312"/>
      <w:sz w:val="24"/>
    </w:rPr>
  </w:style>
  <w:style w:type="character" w:styleId="1143">
    <w:name w:val="正文文本缩进 2 Char"/>
    <w:basedOn w:val="1104"/>
    <w:next w:val="1143"/>
    <w:link w:val="1142"/>
    <w:qFormat/>
    <w:rPr>
      <w:rFonts w:ascii="仿宋_GB2312" w:eastAsia="仿宋_GB2312"/>
      <w:sz w:val="24"/>
      <w:szCs w:val="24"/>
    </w:rPr>
  </w:style>
  <w:style w:type="paragraph" w:styleId="1144">
    <w:name w:val="批注框文本"/>
    <w:basedOn w:val="1094"/>
    <w:next w:val="1144"/>
    <w:link w:val="1145"/>
    <w:qFormat/>
    <w:rPr>
      <w:sz w:val="18"/>
      <w:szCs w:val="18"/>
    </w:rPr>
  </w:style>
  <w:style w:type="character" w:styleId="1145">
    <w:name w:val="批注框文本 Char"/>
    <w:basedOn w:val="1104"/>
    <w:next w:val="1145"/>
    <w:link w:val="1144"/>
    <w:qFormat/>
    <w:rPr>
      <w:sz w:val="18"/>
      <w:szCs w:val="18"/>
    </w:rPr>
  </w:style>
  <w:style w:type="paragraph" w:styleId="1146">
    <w:name w:val="页脚"/>
    <w:basedOn w:val="1094"/>
    <w:next w:val="1146"/>
    <w:link w:val="1147"/>
    <w:uiPriority w:val="99"/>
    <w:qFormat/>
    <w:pPr>
      <w:jc w:val="left"/>
      <w:tabs>
        <w:tab w:val="center" w:pos="4153" w:leader="none"/>
        <w:tab w:val="right" w:pos="8306" w:leader="none"/>
      </w:tabs>
    </w:pPr>
    <w:rPr>
      <w:rFonts w:ascii="宋体"/>
      <w:sz w:val="18"/>
      <w:szCs w:val="20"/>
    </w:rPr>
  </w:style>
  <w:style w:type="character" w:styleId="1147">
    <w:name w:val="页脚 Char1"/>
    <w:next w:val="1147"/>
    <w:link w:val="1146"/>
    <w:uiPriority w:val="99"/>
    <w:qFormat/>
    <w:rPr>
      <w:rFonts w:ascii="宋体" w:eastAsia="宋体"/>
      <w:sz w:val="18"/>
      <w:lang w:val="en-US" w:eastAsia="zh-CN" w:bidi="ar-SA"/>
    </w:rPr>
  </w:style>
  <w:style w:type="paragraph" w:styleId="1148">
    <w:name w:val="页眉"/>
    <w:basedOn w:val="1094"/>
    <w:next w:val="1148"/>
    <w:link w:val="1149"/>
    <w:qFormat/>
    <w:pPr>
      <w:jc w:val="center"/>
      <w:tabs>
        <w:tab w:val="center" w:pos="4153" w:leader="none"/>
        <w:tab w:val="right" w:pos="8306" w:leader="none"/>
      </w:tabs>
      <w:pBdr>
        <w:bottom w:val="single" w:color="000000" w:sz="6" w:space="1"/>
      </w:pBdr>
    </w:pPr>
    <w:rPr>
      <w:sz w:val="18"/>
      <w:szCs w:val="18"/>
    </w:rPr>
  </w:style>
  <w:style w:type="character" w:styleId="1149">
    <w:name w:val="页眉 Char1"/>
    <w:next w:val="1149"/>
    <w:link w:val="1148"/>
    <w:qFormat/>
    <w:rPr>
      <w:rFonts w:eastAsia="宋体"/>
      <w:sz w:val="18"/>
      <w:szCs w:val="18"/>
      <w:lang w:val="en-US" w:eastAsia="zh-CN" w:bidi="ar-SA"/>
    </w:rPr>
  </w:style>
  <w:style w:type="paragraph" w:styleId="1150">
    <w:name w:val="目录 1"/>
    <w:basedOn w:val="1094"/>
    <w:next w:val="1094"/>
    <w:link w:val="1094"/>
    <w:uiPriority w:val="39"/>
    <w:qFormat/>
    <w:pPr>
      <w:spacing w:line="300" w:lineRule="auto"/>
      <w:tabs>
        <w:tab w:val="left" w:pos="1050" w:leader="none"/>
        <w:tab w:val="right" w:pos="8937" w:leader="dot"/>
      </w:tabs>
    </w:pPr>
    <w:rPr>
      <w:rFonts w:ascii="宋体" w:hAnsi="宋体"/>
      <w:b/>
      <w:sz w:val="24"/>
    </w:rPr>
  </w:style>
  <w:style w:type="paragraph" w:styleId="1151">
    <w:name w:val="目录 4"/>
    <w:basedOn w:val="1094"/>
    <w:next w:val="1094"/>
    <w:link w:val="1094"/>
    <w:qFormat/>
    <w:pPr>
      <w:ind w:left="1260"/>
    </w:pPr>
  </w:style>
  <w:style w:type="paragraph" w:styleId="1152">
    <w:name w:val="脚注文本"/>
    <w:basedOn w:val="1094"/>
    <w:next w:val="1124"/>
    <w:link w:val="1094"/>
    <w:qFormat/>
    <w:pPr>
      <w:ind w:firstLine="425"/>
      <w:jc w:val="left"/>
      <w:spacing w:before="120" w:line="360" w:lineRule="auto"/>
    </w:pPr>
    <w:rPr>
      <w:sz w:val="18"/>
      <w:szCs w:val="20"/>
    </w:rPr>
  </w:style>
  <w:style w:type="paragraph" w:styleId="1153">
    <w:name w:val="目录 6"/>
    <w:basedOn w:val="1094"/>
    <w:next w:val="1094"/>
    <w:link w:val="1094"/>
    <w:qFormat/>
    <w:pPr>
      <w:ind w:left="2100"/>
    </w:pPr>
  </w:style>
  <w:style w:type="paragraph" w:styleId="1154">
    <w:name w:val="正文文本缩进 3"/>
    <w:basedOn w:val="1094"/>
    <w:next w:val="1154"/>
    <w:link w:val="1155"/>
    <w:qFormat/>
    <w:pPr>
      <w:ind w:left="720" w:firstLine="480"/>
      <w:jc w:val="left"/>
      <w:spacing w:before="120" w:line="22" w:lineRule="atLeast"/>
    </w:pPr>
    <w:rPr>
      <w:rFonts w:ascii="宋体"/>
      <w:sz w:val="24"/>
      <w:szCs w:val="20"/>
    </w:rPr>
  </w:style>
  <w:style w:type="character" w:styleId="1155">
    <w:name w:val="正文文本缩进 3 Char"/>
    <w:basedOn w:val="1104"/>
    <w:next w:val="1155"/>
    <w:link w:val="1154"/>
    <w:qFormat/>
    <w:rPr>
      <w:rFonts w:ascii="宋体"/>
      <w:sz w:val="24"/>
    </w:rPr>
  </w:style>
  <w:style w:type="paragraph" w:styleId="1156">
    <w:name w:val="目录 2"/>
    <w:basedOn w:val="1094"/>
    <w:next w:val="1094"/>
    <w:link w:val="1094"/>
    <w:uiPriority w:val="39"/>
    <w:qFormat/>
    <w:pPr>
      <w:ind w:left="420"/>
      <w:spacing w:line="312" w:lineRule="auto"/>
      <w:tabs>
        <w:tab w:val="right" w:pos="8937" w:leader="dot"/>
      </w:tabs>
    </w:pPr>
  </w:style>
  <w:style w:type="paragraph" w:styleId="1157">
    <w:name w:val="目录 9"/>
    <w:basedOn w:val="1094"/>
    <w:next w:val="1094"/>
    <w:link w:val="1094"/>
    <w:qFormat/>
    <w:pPr>
      <w:ind w:left="3360"/>
    </w:pPr>
  </w:style>
  <w:style w:type="paragraph" w:styleId="1158">
    <w:name w:val="HTML 预设格式"/>
    <w:basedOn w:val="1094"/>
    <w:next w:val="1158"/>
    <w:link w:val="11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9">
    <w:name w:val="HTML 预设格式 Char"/>
    <w:basedOn w:val="1104"/>
    <w:next w:val="1159"/>
    <w:link w:val="1158"/>
    <w:qFormat/>
    <w:rPr>
      <w:rFonts w:ascii="宋体" w:hAnsi="宋体" w:cs="宋体"/>
      <w:sz w:val="24"/>
      <w:szCs w:val="24"/>
    </w:rPr>
  </w:style>
  <w:style w:type="paragraph" w:styleId="1160">
    <w:name w:val="普通(网站)"/>
    <w:basedOn w:val="1094"/>
    <w:next w:val="1160"/>
    <w:link w:val="1094"/>
    <w:uiPriority w:val="99"/>
    <w:unhideWhenUsed/>
    <w:qFormat/>
    <w:pPr>
      <w:jc w:val="left"/>
      <w:spacing w:before="100" w:beforeAutospacing="1" w:after="100" w:afterAutospacing="1"/>
      <w:widowControl/>
    </w:pPr>
    <w:rPr>
      <w:rFonts w:ascii="宋体" w:hAnsi="宋体" w:cs="宋体"/>
      <w:sz w:val="24"/>
    </w:rPr>
  </w:style>
  <w:style w:type="paragraph" w:styleId="1161">
    <w:name w:val="索引 1"/>
    <w:basedOn w:val="1094"/>
    <w:next w:val="1094"/>
    <w:link w:val="1094"/>
    <w:qFormat/>
    <w:rPr>
      <w:szCs w:val="20"/>
    </w:rPr>
  </w:style>
  <w:style w:type="paragraph" w:styleId="1162">
    <w:name w:val="标题"/>
    <w:basedOn w:val="1094"/>
    <w:next w:val="1162"/>
    <w:link w:val="1163"/>
    <w:qFormat/>
    <w:pPr>
      <w:jc w:val="center"/>
      <w:outlineLvl w:val="0"/>
    </w:pPr>
    <w:rPr>
      <w:b/>
      <w:sz w:val="32"/>
      <w:szCs w:val="20"/>
    </w:rPr>
  </w:style>
  <w:style w:type="character" w:styleId="1163">
    <w:name w:val="标题 Char1"/>
    <w:next w:val="1163"/>
    <w:link w:val="1162"/>
    <w:qFormat/>
    <w:rPr>
      <w:b/>
      <w:sz w:val="32"/>
    </w:rPr>
  </w:style>
  <w:style w:type="paragraph" w:styleId="1164">
    <w:name w:val="批注主题"/>
    <w:basedOn w:val="1127"/>
    <w:next w:val="1127"/>
    <w:link w:val="1165"/>
    <w:qFormat/>
    <w:rPr>
      <w:b/>
      <w:bCs/>
    </w:rPr>
  </w:style>
  <w:style w:type="character" w:styleId="1165">
    <w:name w:val="批注主题 Char"/>
    <w:basedOn w:val="1166"/>
    <w:next w:val="1165"/>
    <w:link w:val="1164"/>
    <w:qFormat/>
    <w:rPr>
      <w:rFonts w:ascii="Times New Roman" w:hAnsi="Times New Roman" w:eastAsia="宋体" w:cs="Times New Roman"/>
      <w:b/>
      <w:bCs/>
      <w:sz w:val="21"/>
      <w:szCs w:val="24"/>
      <w:lang w:val="en-US" w:eastAsia="zh-CN" w:bidi="ar-SA"/>
    </w:rPr>
  </w:style>
  <w:style w:type="character" w:styleId="1166">
    <w:name w:val="批注文字 字符"/>
    <w:next w:val="1166"/>
    <w:link w:val="1094"/>
    <w:uiPriority w:val="99"/>
    <w:qFormat/>
    <w:rPr>
      <w:rFonts w:ascii="Times New Roman" w:hAnsi="Times New Roman" w:eastAsia="宋体" w:cs="Times New Roman"/>
      <w:sz w:val="24"/>
      <w:lang w:val="en-US" w:eastAsia="zh-CN" w:bidi="ar-SA"/>
    </w:rPr>
  </w:style>
  <w:style w:type="table" w:styleId="1167">
    <w:name w:val="网格型"/>
    <w:basedOn w:val="1105"/>
    <w:next w:val="1167"/>
    <w:link w:val="1094"/>
    <w:uiPriority w:val="39"/>
    <w:qFormat/>
    <w:tblPr/>
  </w:style>
  <w:style w:type="table" w:styleId="1168">
    <w:name w:val="中等深浅网格 1 - 强调文字颜色 2"/>
    <w:basedOn w:val="1105"/>
    <w:next w:val="1168"/>
    <w:link w:val="1094"/>
    <w:qFormat/>
    <w:rPr>
      <w:sz w:val="21"/>
      <w:szCs w:val="24"/>
    </w:rPr>
    <w:tblPr/>
  </w:style>
  <w:style w:type="character" w:styleId="1169">
    <w:name w:val="要点"/>
    <w:next w:val="1169"/>
    <w:link w:val="1094"/>
    <w:qFormat/>
    <w:rPr>
      <w:b/>
      <w:bCs/>
    </w:rPr>
  </w:style>
  <w:style w:type="character" w:styleId="1170">
    <w:name w:val="页码"/>
    <w:basedOn w:val="1104"/>
    <w:next w:val="1170"/>
    <w:link w:val="1094"/>
    <w:qFormat/>
  </w:style>
  <w:style w:type="character" w:styleId="1171">
    <w:name w:val="已访问的超链接"/>
    <w:next w:val="1171"/>
    <w:link w:val="1094"/>
    <w:qFormat/>
    <w:rPr>
      <w:color w:val="800080"/>
      <w:u w:val="single"/>
    </w:rPr>
  </w:style>
  <w:style w:type="character" w:styleId="1172">
    <w:name w:val="强调"/>
    <w:next w:val="1172"/>
    <w:link w:val="1094"/>
    <w:qFormat/>
    <w:rPr>
      <w:color w:val="cc0033"/>
    </w:rPr>
  </w:style>
  <w:style w:type="character" w:styleId="1173">
    <w:name w:val="超链接"/>
    <w:next w:val="1173"/>
    <w:link w:val="1094"/>
    <w:uiPriority w:val="99"/>
    <w:qFormat/>
    <w:rPr>
      <w:color w:val="0000ff"/>
      <w:u w:val="single"/>
    </w:rPr>
  </w:style>
  <w:style w:type="character" w:styleId="1174">
    <w:name w:val="批注引用"/>
    <w:next w:val="1174"/>
    <w:link w:val="1094"/>
    <w:uiPriority w:val="99"/>
    <w:qFormat/>
    <w:rPr>
      <w:sz w:val="21"/>
      <w:szCs w:val="21"/>
    </w:rPr>
  </w:style>
  <w:style w:type="character" w:styleId="1175">
    <w:name w:val="HTML 引文"/>
    <w:next w:val="1175"/>
    <w:link w:val="1094"/>
    <w:qFormat/>
    <w:rPr>
      <w:i/>
      <w:iCs/>
    </w:rPr>
  </w:style>
  <w:style w:type="paragraph" w:styleId="1176">
    <w:name w:val="Default"/>
    <w:next w:val="1176"/>
    <w:link w:val="1094"/>
    <w:qFormat/>
    <w:pPr>
      <w:widowControl w:val="off"/>
    </w:pPr>
    <w:rPr>
      <w:rFonts w:ascii="Symbol" w:hAnsi="Symbol" w:cs="Symbol"/>
      <w:color w:val="000000"/>
      <w:sz w:val="24"/>
      <w:szCs w:val="24"/>
      <w:lang w:val="en-US" w:eastAsia="zh-CN" w:bidi="ar-SA"/>
    </w:rPr>
  </w:style>
  <w:style w:type="paragraph" w:styleId="1177">
    <w:name w:val="首行缩进"/>
    <w:basedOn w:val="1094"/>
    <w:next w:val="1177"/>
    <w:link w:val="1094"/>
    <w:qFormat/>
    <w:pPr>
      <w:ind w:firstLine="720"/>
    </w:pPr>
    <w:rPr>
      <w:sz w:val="24"/>
    </w:rPr>
  </w:style>
  <w:style w:type="paragraph" w:styleId="1178">
    <w:name w:val="正文_2_0"/>
    <w:next w:val="1178"/>
    <w:link w:val="1094"/>
    <w:qFormat/>
    <w:pPr>
      <w:spacing w:line="440" w:lineRule="exact"/>
      <w:widowControl w:val="off"/>
    </w:pPr>
    <w:rPr>
      <w:rFonts w:ascii="Calibri" w:hAnsi="Calibri" w:eastAsia="宋体" w:cs="Times New Roman"/>
      <w:lang w:val="en-US" w:eastAsia="zh-CN" w:bidi="ar-SA"/>
    </w:rPr>
  </w:style>
  <w:style w:type="paragraph" w:styleId="1179">
    <w:name w:val="Normal_0"/>
    <w:next w:val="1131"/>
    <w:link w:val="1094"/>
    <w:qFormat/>
    <w:pPr>
      <w:jc w:val="both"/>
      <w:widowControl w:val="off"/>
    </w:pPr>
    <w:rPr>
      <w:rFonts w:ascii="Calibri" w:hAnsi="Calibri" w:eastAsia="Times New Roman" w:cs="Times New Roman"/>
      <w:lang w:val="en-US" w:eastAsia="zh-CN" w:bidi="ar-SA"/>
    </w:rPr>
  </w:style>
  <w:style w:type="character" w:styleId="1180">
    <w:name w:val="street-address"/>
    <w:basedOn w:val="1104"/>
    <w:next w:val="1180"/>
    <w:link w:val="1094"/>
    <w:qFormat/>
  </w:style>
  <w:style w:type="character" w:styleId="1181">
    <w:name w:val="注释 Char"/>
    <w:next w:val="1181"/>
    <w:link w:val="1182"/>
    <w:qFormat/>
    <w:rPr>
      <w:rFonts w:ascii="宋体" w:hAnsi="宋体"/>
      <w:sz w:val="21"/>
      <w:szCs w:val="21"/>
    </w:rPr>
  </w:style>
  <w:style w:type="paragraph" w:styleId="1182">
    <w:name w:val="注释"/>
    <w:basedOn w:val="1094"/>
    <w:next w:val="1182"/>
    <w:link w:val="1181"/>
    <w:qFormat/>
    <w:pPr>
      <w:ind w:left="420" w:hanging="420"/>
      <w:jc w:val="left"/>
    </w:pPr>
    <w:rPr>
      <w:rFonts w:ascii="宋体" w:hAnsi="宋体"/>
      <w:szCs w:val="21"/>
    </w:rPr>
  </w:style>
  <w:style w:type="character" w:styleId="1183">
    <w:name w:val="locality"/>
    <w:basedOn w:val="1104"/>
    <w:next w:val="1183"/>
    <w:link w:val="1094"/>
    <w:qFormat/>
  </w:style>
  <w:style w:type="character" w:styleId="1184">
    <w:name w:val="标题 Char"/>
    <w:next w:val="1184"/>
    <w:link w:val="1094"/>
    <w:qFormat/>
    <w:rPr>
      <w:b/>
      <w:sz w:val="32"/>
    </w:rPr>
  </w:style>
  <w:style w:type="character" w:styleId="1185">
    <w:name w:val="标题 2 Char"/>
    <w:next w:val="1185"/>
    <w:link w:val="1094"/>
    <w:qFormat/>
    <w:rPr>
      <w:rFonts w:ascii="Arial" w:hAnsi="Arial" w:eastAsia="黑体"/>
      <w:b/>
      <w:sz w:val="30"/>
      <w:lang w:val="en-US" w:eastAsia="zh-CN" w:bidi="ar-SA"/>
    </w:rPr>
  </w:style>
  <w:style w:type="character" w:styleId="1186">
    <w:name w:val="纯文本 Char1"/>
    <w:next w:val="1186"/>
    <w:link w:val="1094"/>
    <w:qFormat/>
    <w:rPr>
      <w:rFonts w:ascii="宋体" w:hAnsi="Courier New" w:eastAsia="宋体"/>
      <w:sz w:val="21"/>
      <w:lang w:val="en-US" w:eastAsia="zh-CN" w:bidi="ar-SA"/>
    </w:rPr>
  </w:style>
  <w:style w:type="character" w:styleId="1187">
    <w:name w:val="Char Char11"/>
    <w:next w:val="1187"/>
    <w:link w:val="1094"/>
    <w:qFormat/>
    <w:rPr>
      <w:rFonts w:ascii="宋体" w:eastAsia="宋体"/>
      <w:b/>
      <w:sz w:val="24"/>
      <w:u w:val="single"/>
      <w:lang w:val="en-US" w:eastAsia="zh-CN" w:bidi="ar-SA"/>
    </w:rPr>
  </w:style>
  <w:style w:type="character" w:styleId="1188">
    <w:name w:val="页脚 Char"/>
    <w:next w:val="1188"/>
    <w:link w:val="1094"/>
    <w:qFormat/>
    <w:rPr>
      <w:rFonts w:ascii="宋体" w:eastAsia="宋体"/>
      <w:sz w:val="18"/>
      <w:lang w:val="en-US" w:eastAsia="zh-CN" w:bidi="ar-SA"/>
    </w:rPr>
  </w:style>
  <w:style w:type="character" w:styleId="1189">
    <w:name w:val="列出段落 Char"/>
    <w:next w:val="1189"/>
    <w:link w:val="1094"/>
    <w:qFormat/>
    <w:rPr>
      <w:rFonts w:ascii="Calibri" w:hAnsi="Calibri" w:eastAsia="宋体"/>
      <w:sz w:val="21"/>
      <w:szCs w:val="22"/>
      <w:lang w:val="en-US" w:eastAsia="zh-CN" w:bidi="ar-SA"/>
    </w:rPr>
  </w:style>
  <w:style w:type="character" w:styleId="1190">
    <w:name w:val="纯文本 字符1"/>
    <w:next w:val="1190"/>
    <w:link w:val="1094"/>
    <w:qFormat/>
    <w:rPr>
      <w:rFonts w:ascii="宋体" w:hAnsi="Courier New"/>
    </w:rPr>
  </w:style>
  <w:style w:type="character" w:styleId="1191">
    <w:name w:val="chanpin1"/>
    <w:next w:val="1191"/>
    <w:link w:val="1094"/>
    <w:qFormat/>
    <w:rPr>
      <w:rFonts w:ascii="ˎ̥" w:hAnsi="ˎ̥"/>
      <w:color w:val="000000"/>
      <w:sz w:val="20"/>
      <w:szCs w:val="20"/>
      <w:u w:val="none"/>
    </w:rPr>
  </w:style>
  <w:style w:type="character" w:styleId="1192">
    <w:name w:val="apple-style-span"/>
    <w:next w:val="1192"/>
    <w:link w:val="1094"/>
    <w:qFormat/>
    <w:rPr>
      <w:rFonts w:cs="Times New Roman"/>
    </w:rPr>
  </w:style>
  <w:style w:type="character" w:styleId="1193">
    <w:name w:val="c21"/>
    <w:next w:val="1193"/>
    <w:link w:val="1094"/>
    <w:qFormat/>
    <w:rPr>
      <w:rFonts w:ascii="ˎ̥" w:hAnsi="ˎ̥"/>
      <w:color w:val="000000"/>
      <w:sz w:val="20"/>
      <w:szCs w:val="20"/>
      <w:u w:val="none"/>
    </w:rPr>
  </w:style>
  <w:style w:type="character" w:styleId="1194">
    <w:name w:val="正文缩进 Char Char"/>
    <w:next w:val="1194"/>
    <w:link w:val="1195"/>
    <w:qFormat/>
    <w:rPr>
      <w:rFonts w:ascii="宋体" w:eastAsia="宋体"/>
      <w:color w:val="000000"/>
      <w:sz w:val="28"/>
      <w:lang w:bidi="ar-SA"/>
    </w:rPr>
  </w:style>
  <w:style w:type="paragraph" w:styleId="1195">
    <w:name w:val="正文缩进1"/>
    <w:basedOn w:val="1094"/>
    <w:next w:val="1195"/>
    <w:link w:val="1194"/>
    <w:qFormat/>
    <w:pPr>
      <w:ind w:firstLine="567"/>
      <w:spacing w:line="480" w:lineRule="exact"/>
      <w:widowControl/>
    </w:pPr>
    <w:rPr>
      <w:rFonts w:ascii="宋体"/>
      <w:color w:val="000000"/>
      <w:sz w:val="28"/>
      <w:szCs w:val="20"/>
    </w:rPr>
  </w:style>
  <w:style w:type="character" w:styleId="1196">
    <w:name w:val="标题 2 Char Char"/>
    <w:next w:val="1196"/>
    <w:link w:val="1094"/>
    <w:qFormat/>
    <w:rPr>
      <w:rFonts w:ascii="Arial" w:hAnsi="Arial" w:eastAsia="黑体"/>
      <w:b/>
      <w:bCs/>
      <w:sz w:val="32"/>
      <w:szCs w:val="32"/>
      <w:lang w:val="en-US" w:eastAsia="zh-CN" w:bidi="ar-SA"/>
    </w:rPr>
  </w:style>
  <w:style w:type="character" w:styleId="1197">
    <w:name w:val="段1 Char"/>
    <w:next w:val="1197"/>
    <w:link w:val="1094"/>
    <w:qFormat/>
    <w:rPr>
      <w:rFonts w:ascii="宋体" w:eastAsia="宋体"/>
      <w:sz w:val="24"/>
      <w:lang w:val="en-US" w:eastAsia="zh-CN" w:bidi="ar-SA"/>
    </w:rPr>
  </w:style>
  <w:style w:type="character" w:styleId="1198">
    <w:name w:val="成文日期 Char"/>
    <w:next w:val="1198"/>
    <w:link w:val="1199"/>
    <w:rPr>
      <w:rFonts w:ascii="仿宋_GB2312" w:eastAsia="仿宋_GB2312"/>
      <w:sz w:val="32"/>
    </w:rPr>
  </w:style>
  <w:style w:type="paragraph" w:styleId="1199">
    <w:name w:val="成文日期"/>
    <w:basedOn w:val="1094"/>
    <w:next w:val="1199"/>
    <w:link w:val="1198"/>
    <w:qFormat/>
    <w:pPr>
      <w:ind w:right="400" w:firstLine="200"/>
      <w:jc w:val="right"/>
      <w:spacing w:line="570" w:lineRule="exact"/>
    </w:pPr>
    <w:rPr>
      <w:rFonts w:ascii="仿宋_GB2312" w:eastAsia="仿宋_GB2312"/>
      <w:sz w:val="32"/>
      <w:szCs w:val="20"/>
    </w:rPr>
  </w:style>
  <w:style w:type="character" w:styleId="1200">
    <w:name w:val="中等深浅网格 1 - 强调文字颜色 2 Char"/>
    <w:next w:val="1200"/>
    <w:link w:val="1201"/>
    <w:qFormat/>
    <w:rPr>
      <w:sz w:val="21"/>
      <w:szCs w:val="24"/>
      <w:lang w:val="zh-CN" w:eastAsia="zh-CN" w:bidi="ar-SA"/>
    </w:rPr>
  </w:style>
  <w:style w:type="paragraph" w:styleId="1201">
    <w:name w:val="1"/>
    <w:next w:val="1201"/>
    <w:link w:val="1200"/>
    <w:qFormat/>
    <w:rPr>
      <w:sz w:val="21"/>
      <w:szCs w:val="24"/>
      <w:lang w:val="zh-CN" w:eastAsia="zh-CN" w:bidi="ar-SA"/>
    </w:rPr>
  </w:style>
  <w:style w:type="character" w:styleId="1202">
    <w:name w:val="标题 3 Char Char"/>
    <w:next w:val="1202"/>
    <w:link w:val="1094"/>
    <w:qFormat/>
    <w:rPr>
      <w:rFonts w:eastAsia="宋体"/>
      <w:b/>
      <w:bCs/>
      <w:sz w:val="32"/>
      <w:szCs w:val="32"/>
      <w:lang w:val="en-US" w:eastAsia="zh-CN" w:bidi="ar-SA"/>
    </w:rPr>
  </w:style>
  <w:style w:type="character" w:styleId="1203">
    <w:name w:val="txt"/>
    <w:basedOn w:val="1104"/>
    <w:next w:val="1203"/>
    <w:link w:val="1094"/>
    <w:qFormat/>
  </w:style>
  <w:style w:type="character" w:styleId="1204">
    <w:name w:val="纯文本 字符"/>
    <w:next w:val="1204"/>
    <w:link w:val="1094"/>
    <w:uiPriority w:val="99"/>
    <w:qFormat/>
    <w:rPr>
      <w:rFonts w:ascii="宋体" w:hAnsi="Courier New" w:eastAsia="宋体" w:cs="Times New Roman"/>
      <w:sz w:val="21"/>
      <w:szCs w:val="21"/>
      <w:lang w:val="en-US" w:eastAsia="zh-CN" w:bidi="ar-SA"/>
    </w:rPr>
  </w:style>
  <w:style w:type="character" w:styleId="1205">
    <w:name w:val="正文大标题 Char"/>
    <w:next w:val="1205"/>
    <w:link w:val="1206"/>
    <w:qFormat/>
    <w:rPr>
      <w:rFonts w:ascii="宋体" w:hAnsi="宋体"/>
      <w:b/>
      <w:color w:val="000000"/>
      <w:sz w:val="28"/>
      <w:szCs w:val="21"/>
    </w:rPr>
  </w:style>
  <w:style w:type="paragraph" w:styleId="1206">
    <w:name w:val="正文大标题"/>
    <w:basedOn w:val="1207"/>
    <w:next w:val="1113"/>
    <w:link w:val="1205"/>
    <w:qFormat/>
    <w:pPr>
      <w:jc w:val="center"/>
    </w:pPr>
    <w:rPr>
      <w:i w:val="0"/>
      <w:color w:val="000000"/>
      <w:sz w:val="28"/>
      <w:szCs w:val="21"/>
    </w:rPr>
  </w:style>
  <w:style w:type="paragraph" w:styleId="1207">
    <w:name w:val="正文小标题"/>
    <w:basedOn w:val="1094"/>
    <w:next w:val="1113"/>
    <w:link w:val="1208"/>
    <w:qFormat/>
    <w:pPr>
      <w:ind w:firstLine="482"/>
      <w:jc w:val="left"/>
      <w:spacing w:before="312" w:after="312"/>
    </w:pPr>
    <w:rPr>
      <w:rFonts w:ascii="宋体" w:hAnsi="宋体"/>
      <w:b/>
      <w:i/>
      <w:color w:val="ff0000"/>
      <w:sz w:val="24"/>
      <w:szCs w:val="20"/>
    </w:rPr>
  </w:style>
  <w:style w:type="character" w:styleId="1208">
    <w:name w:val="正文小标题 Char"/>
    <w:next w:val="1208"/>
    <w:link w:val="1207"/>
    <w:qFormat/>
    <w:rPr>
      <w:rFonts w:ascii="宋体" w:hAnsi="宋体"/>
      <w:b/>
      <w:i/>
      <w:color w:val="ff0000"/>
      <w:sz w:val="24"/>
    </w:rPr>
  </w:style>
  <w:style w:type="character" w:styleId="1209">
    <w:name w:val="正文格式 Char"/>
    <w:next w:val="1209"/>
    <w:link w:val="1210"/>
    <w:qFormat/>
    <w:rPr>
      <w:rFonts w:ascii="宋体" w:hAnsi="宋体"/>
      <w:sz w:val="24"/>
      <w:szCs w:val="24"/>
      <w:lang w:val="en-GB"/>
    </w:rPr>
  </w:style>
  <w:style w:type="paragraph" w:styleId="1210">
    <w:name w:val="正文格式"/>
    <w:basedOn w:val="1094"/>
    <w:next w:val="1210"/>
    <w:link w:val="1209"/>
    <w:qFormat/>
    <w:pPr>
      <w:ind w:firstLine="480"/>
      <w:spacing w:line="360" w:lineRule="auto"/>
    </w:pPr>
    <w:rPr>
      <w:rFonts w:ascii="宋体" w:hAnsi="宋体"/>
      <w:sz w:val="24"/>
      <w:lang w:val="en-GB"/>
    </w:rPr>
  </w:style>
  <w:style w:type="character" w:styleId="1211">
    <w:name w:val="title4"/>
    <w:next w:val="1211"/>
    <w:link w:val="1094"/>
    <w:qFormat/>
    <w:rPr>
      <w:b/>
      <w:bCs/>
      <w:color w:val="1d87b3"/>
      <w:sz w:val="15"/>
      <w:szCs w:val="15"/>
    </w:rPr>
  </w:style>
  <w:style w:type="character" w:styleId="1212">
    <w:name w:val="列出段落 Char1"/>
    <w:next w:val="1212"/>
    <w:link w:val="1213"/>
    <w:uiPriority w:val="34"/>
    <w:qFormat/>
    <w:rPr>
      <w:rFonts w:ascii="Calibri" w:hAnsi="Calibri" w:eastAsia="宋体"/>
      <w:sz w:val="21"/>
      <w:szCs w:val="22"/>
      <w:lang w:val="en-US" w:eastAsia="zh-CN" w:bidi="ar-SA"/>
    </w:rPr>
  </w:style>
  <w:style w:type="paragraph" w:styleId="1213">
    <w:name w:val="列出段落"/>
    <w:basedOn w:val="1094"/>
    <w:next w:val="1213"/>
    <w:link w:val="1212"/>
    <w:uiPriority w:val="34"/>
    <w:qFormat/>
    <w:pPr>
      <w:ind w:firstLine="420"/>
    </w:pPr>
    <w:rPr>
      <w:rFonts w:ascii="Calibri" w:hAnsi="Calibri"/>
      <w:szCs w:val="22"/>
    </w:rPr>
  </w:style>
  <w:style w:type="character" w:styleId="1214">
    <w:name w:val="批注文字 Char"/>
    <w:next w:val="1214"/>
    <w:link w:val="1094"/>
    <w:uiPriority w:val="99"/>
    <w:qFormat/>
    <w:rPr>
      <w:sz w:val="21"/>
      <w:szCs w:val="24"/>
    </w:rPr>
  </w:style>
  <w:style w:type="character" w:styleId="1215">
    <w:name w:val="chanpin拷贝"/>
    <w:basedOn w:val="1104"/>
    <w:next w:val="1215"/>
    <w:link w:val="1094"/>
    <w:qFormat/>
  </w:style>
  <w:style w:type="character" w:styleId="1216">
    <w:name w:val="普通文字1 Char1"/>
    <w:next w:val="1216"/>
    <w:link w:val="1094"/>
    <w:qFormat/>
    <w:rPr>
      <w:rFonts w:ascii="宋体" w:hAnsi="Courier New" w:eastAsia="宋体"/>
      <w:sz w:val="21"/>
      <w:lang w:val="en-US" w:eastAsia="zh-CN" w:bidi="ar-SA"/>
    </w:rPr>
  </w:style>
  <w:style w:type="character" w:styleId="1217">
    <w:name w:val="正文表格 Char"/>
    <w:next w:val="1217"/>
    <w:link w:val="1218"/>
    <w:qFormat/>
    <w:rPr>
      <w:rFonts w:ascii="宋体" w:hAnsi="宋体"/>
      <w:color w:val="000000"/>
      <w:sz w:val="21"/>
      <w:szCs w:val="21"/>
    </w:rPr>
  </w:style>
  <w:style w:type="paragraph" w:styleId="1218">
    <w:name w:val="正文表格"/>
    <w:basedOn w:val="1094"/>
    <w:next w:val="1218"/>
    <w:link w:val="1217"/>
    <w:qFormat/>
    <w:pPr>
      <w:jc w:val="left"/>
    </w:pPr>
    <w:rPr>
      <w:rFonts w:ascii="宋体" w:hAnsi="宋体"/>
      <w:color w:val="000000"/>
      <w:szCs w:val="21"/>
    </w:rPr>
  </w:style>
  <w:style w:type="character" w:styleId="1219">
    <w:name w:val="正文缩进 Char"/>
    <w:next w:val="1219"/>
    <w:link w:val="1094"/>
    <w:qFormat/>
    <w:rPr>
      <w:rFonts w:ascii="宋体" w:eastAsia="宋体"/>
      <w:sz w:val="24"/>
      <w:szCs w:val="24"/>
      <w:lang w:val="en-US" w:eastAsia="zh-CN" w:bidi="ar-SA"/>
    </w:rPr>
  </w:style>
  <w:style w:type="character" w:styleId="1220">
    <w:name w:val="页眉 Char"/>
    <w:next w:val="1220"/>
    <w:link w:val="1094"/>
    <w:qFormat/>
    <w:rPr>
      <w:rFonts w:eastAsia="宋体"/>
      <w:sz w:val="18"/>
      <w:szCs w:val="18"/>
      <w:lang w:val="en-US" w:eastAsia="zh-CN" w:bidi="ar-SA"/>
    </w:rPr>
  </w:style>
  <w:style w:type="character" w:styleId="1221">
    <w:name w:val="black1"/>
    <w:next w:val="1221"/>
    <w:link w:val="1094"/>
    <w:qFormat/>
    <w:rPr>
      <w:color w:val="000000"/>
    </w:rPr>
  </w:style>
  <w:style w:type="character" w:styleId="1222">
    <w:name w:val="正文文本缩进 Char"/>
    <w:next w:val="1222"/>
    <w:link w:val="1094"/>
    <w:qFormat/>
    <w:rPr>
      <w:rFonts w:eastAsia="宋体"/>
      <w:sz w:val="24"/>
      <w:szCs w:val="24"/>
      <w:lang w:val="en-US" w:eastAsia="zh-CN" w:bidi="ar-SA"/>
    </w:rPr>
  </w:style>
  <w:style w:type="character" w:styleId="1223">
    <w:name w:val="正文文本缩进 Char1"/>
    <w:next w:val="1223"/>
    <w:link w:val="1224"/>
    <w:qFormat/>
    <w:rPr>
      <w:rFonts w:ascii="宋体" w:hAnsi="宋体" w:eastAsia="宋体"/>
      <w:sz w:val="24"/>
      <w:szCs w:val="24"/>
      <w:lang w:bidi="ar-SA"/>
    </w:rPr>
  </w:style>
  <w:style w:type="paragraph" w:styleId="1224">
    <w:name w:val="正文文本缩进1"/>
    <w:basedOn w:val="1094"/>
    <w:next w:val="1224"/>
    <w:link w:val="1223"/>
    <w:qFormat/>
    <w:pPr>
      <w:ind w:firstLine="480"/>
      <w:spacing w:line="480" w:lineRule="exact"/>
    </w:pPr>
    <w:rPr>
      <w:rFonts w:ascii="宋体" w:hAnsi="宋体"/>
      <w:sz w:val="24"/>
    </w:rPr>
  </w:style>
  <w:style w:type="character" w:styleId="1225">
    <w:name w:val="正文重点 Char"/>
    <w:next w:val="1225"/>
    <w:link w:val="1226"/>
    <w:qFormat/>
    <w:rPr>
      <w:b/>
      <w:sz w:val="24"/>
    </w:rPr>
  </w:style>
  <w:style w:type="paragraph" w:styleId="1226">
    <w:name w:val="正文重点"/>
    <w:basedOn w:val="1094"/>
    <w:next w:val="1226"/>
    <w:link w:val="1225"/>
    <w:qFormat/>
    <w:pPr>
      <w:ind w:firstLine="482"/>
      <w:jc w:val="left"/>
      <w:spacing w:line="360" w:lineRule="auto"/>
    </w:pPr>
    <w:rPr>
      <w:b/>
      <w:sz w:val="24"/>
      <w:szCs w:val="20"/>
    </w:rPr>
  </w:style>
  <w:style w:type="character" w:styleId="1227">
    <w:name w:val="标题 3 Char"/>
    <w:next w:val="1227"/>
    <w:link w:val="1094"/>
    <w:qFormat/>
    <w:rPr>
      <w:rFonts w:ascii="宋体" w:eastAsia="宋体"/>
      <w:b/>
      <w:sz w:val="24"/>
      <w:u w:val="single"/>
      <w:lang w:val="en-US" w:eastAsia="zh-CN" w:bidi="ar-SA"/>
    </w:rPr>
  </w:style>
  <w:style w:type="character" w:styleId="1228">
    <w:name w:val="Char Char111"/>
    <w:next w:val="1228"/>
    <w:link w:val="1094"/>
    <w:qFormat/>
    <w:rPr>
      <w:rFonts w:ascii="宋体" w:eastAsia="宋体"/>
      <w:b/>
      <w:sz w:val="24"/>
      <w:u w:val="single"/>
      <w:lang w:val="en-US" w:eastAsia="zh-CN" w:bidi="ar-SA"/>
    </w:rPr>
  </w:style>
  <w:style w:type="character" w:styleId="1229">
    <w:name w:val="bjh-p"/>
    <w:next w:val="1229"/>
    <w:link w:val="1094"/>
    <w:qFormat/>
  </w:style>
  <w:style w:type="paragraph" w:styleId="1230">
    <w:name w:val="xl36"/>
    <w:basedOn w:val="1094"/>
    <w:next w:val="1230"/>
    <w:link w:val="109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name w:val="font5"/>
    <w:basedOn w:val="1094"/>
    <w:next w:val="1231"/>
    <w:link w:val="1094"/>
    <w:qFormat/>
    <w:pPr>
      <w:jc w:val="left"/>
      <w:spacing w:before="100" w:beforeAutospacing="1" w:after="100" w:afterAutospacing="1"/>
      <w:widowControl/>
    </w:pPr>
    <w:rPr>
      <w:rFonts w:ascii="宋体" w:hAnsi="宋体" w:cs="宋体"/>
      <w:sz w:val="18"/>
      <w:szCs w:val="18"/>
    </w:rPr>
  </w:style>
  <w:style w:type="paragraph" w:styleId="1232">
    <w:name w:val="图中文字"/>
    <w:basedOn w:val="1094"/>
    <w:next w:val="1232"/>
    <w:link w:val="1094"/>
    <w:qFormat/>
    <w:pPr>
      <w:jc w:val="center"/>
      <w:spacing w:line="0" w:lineRule="atLeast"/>
    </w:pPr>
    <w:rPr>
      <w:sz w:val="24"/>
      <w:szCs w:val="20"/>
    </w:rPr>
  </w:style>
  <w:style w:type="paragraph" w:styleId="1233">
    <w:name w:val="1 Char Char Char Char"/>
    <w:basedOn w:val="1094"/>
    <w:next w:val="1233"/>
    <w:link w:val="1094"/>
    <w:qFormat/>
    <w:rPr>
      <w:rFonts w:ascii="Tahoma" w:hAnsi="Tahoma"/>
      <w:sz w:val="24"/>
      <w:szCs w:val="20"/>
    </w:rPr>
  </w:style>
  <w:style w:type="paragraph" w:styleId="1234">
    <w:name w:val="正文列项_字母"/>
    <w:basedOn w:val="1094"/>
    <w:next w:val="1234"/>
    <w:link w:val="1094"/>
    <w:qFormat/>
    <w:pPr>
      <w:numPr>
        <w:ilvl w:val="6"/>
        <w:numId w:val="1"/>
      </w:numPr>
      <w:ind w:left="480" w:hanging="180"/>
      <w:spacing w:line="460" w:lineRule="exact"/>
      <w:tabs>
        <w:tab w:val="clear" w:pos="635" w:leader="none"/>
      </w:tabs>
      <w:outlineLvl w:val="6"/>
    </w:pPr>
    <w:rPr>
      <w:rFonts w:ascii="宋体"/>
      <w:sz w:val="28"/>
      <w:szCs w:val="20"/>
    </w:rPr>
  </w:style>
  <w:style w:type="paragraph" w:styleId="1235">
    <w:name w:val="正文须知-2级"/>
    <w:basedOn w:val="1094"/>
    <w:next w:val="1235"/>
    <w:link w:val="1094"/>
    <w:qFormat/>
    <w:pPr>
      <w:numPr>
        <w:ilvl w:val="1"/>
        <w:numId w:val="2"/>
      </w:numPr>
      <w:spacing w:line="300" w:lineRule="auto"/>
    </w:pPr>
    <w:rPr>
      <w:rFonts w:ascii="宋体" w:hAnsi="Calibri"/>
      <w:sz w:val="24"/>
      <w:szCs w:val="21"/>
    </w:rPr>
  </w:style>
  <w:style w:type="paragraph" w:styleId="1236">
    <w:name w:val="Char1 Char Char Char1"/>
    <w:basedOn w:val="1094"/>
    <w:next w:val="1236"/>
    <w:link w:val="1094"/>
    <w:qFormat/>
    <w:rPr>
      <w:rFonts w:ascii="Tahoma" w:hAnsi="Tahoma" w:cs="仿宋_GB2312"/>
      <w:sz w:val="24"/>
      <w:szCs w:val="28"/>
    </w:rPr>
  </w:style>
  <w:style w:type="paragraph" w:styleId="1237">
    <w:name w:val="xl30"/>
    <w:basedOn w:val="1094"/>
    <w:next w:val="1237"/>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name w:val="二级条标题"/>
    <w:basedOn w:val="1239"/>
    <w:next w:val="1094"/>
    <w:link w:val="1094"/>
    <w:qFormat/>
    <w:pPr>
      <w:numPr>
        <w:ilvl w:val="0"/>
        <w:numId w:val="0"/>
      </w:numPr>
      <w:ind w:hanging="840"/>
      <w:tabs>
        <w:tab w:val="left" w:pos="360" w:leader="none"/>
        <w:tab w:val="left" w:pos="840" w:leader="none"/>
      </w:tabs>
      <w:outlineLvl w:val="2"/>
    </w:pPr>
    <w:rPr>
      <w:rFonts w:ascii="宋体" w:eastAsia="宋体"/>
      <w:b w:val="0"/>
    </w:rPr>
  </w:style>
  <w:style w:type="paragraph" w:styleId="1239">
    <w:name w:val="一级条标题"/>
    <w:basedOn w:val="1240"/>
    <w:next w:val="1094"/>
    <w:link w:val="1094"/>
    <w:qFormat/>
    <w:pPr>
      <w:numPr>
        <w:ilvl w:val="1"/>
      </w:numPr>
      <w:ind w:left="0" w:hanging="840"/>
      <w:tabs>
        <w:tab w:val="left" w:pos="360" w:leader="none"/>
        <w:tab w:val="left" w:pos="840" w:leader="none"/>
      </w:tabs>
      <w:outlineLvl w:val="1"/>
    </w:pPr>
  </w:style>
  <w:style w:type="paragraph" w:styleId="1240">
    <w:name w:val="章标题"/>
    <w:next w:val="1094"/>
    <w:link w:val="109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41">
    <w:name w:val="xl29"/>
    <w:basedOn w:val="1094"/>
    <w:next w:val="1241"/>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2">
    <w:name w:val="正文文本样式"/>
    <w:basedOn w:val="1094"/>
    <w:next w:val="1242"/>
    <w:link w:val="1094"/>
    <w:qFormat/>
    <w:pPr>
      <w:ind w:firstLine="482"/>
      <w:spacing w:line="360" w:lineRule="auto"/>
    </w:pPr>
    <w:rPr>
      <w:rFonts w:cs="宋体"/>
      <w:sz w:val="24"/>
      <w:szCs w:val="20"/>
    </w:rPr>
  </w:style>
  <w:style w:type="paragraph" w:styleId="1243">
    <w:name w:val="Char2 Char Char Char Char Char Char"/>
    <w:basedOn w:val="1094"/>
    <w:next w:val="1243"/>
    <w:link w:val="1094"/>
    <w:qFormat/>
    <w:pPr>
      <w:jc w:val="center"/>
      <w:spacing w:line="400" w:lineRule="exact"/>
      <w:widowControl/>
    </w:pPr>
  </w:style>
  <w:style w:type="paragraph" w:styleId="1244">
    <w:name w:val="Char Char1 Char Char Char Char Char Char Char Char"/>
    <w:basedOn w:val="1094"/>
    <w:next w:val="1244"/>
    <w:link w:val="1094"/>
    <w:qFormat/>
    <w:pPr>
      <w:jc w:val="left"/>
      <w:spacing w:after="160" w:line="240" w:lineRule="exact"/>
      <w:widowControl/>
    </w:pPr>
    <w:rPr>
      <w:rFonts w:ascii="Verdana" w:hAnsi="Verdana"/>
      <w:sz w:val="20"/>
      <w:szCs w:val="20"/>
      <w:lang w:eastAsia="en-US"/>
    </w:rPr>
  </w:style>
  <w:style w:type="paragraph" w:styleId="1245">
    <w:name w:val="正文列项_数字"/>
    <w:basedOn w:val="1094"/>
    <w:next w:val="1245"/>
    <w:link w:val="1094"/>
    <w:qFormat/>
    <w:pPr>
      <w:numPr>
        <w:ilvl w:val="7"/>
        <w:numId w:val="1"/>
      </w:numPr>
      <w:ind w:left="680" w:hanging="150"/>
      <w:spacing w:line="460" w:lineRule="exact"/>
      <w:tabs>
        <w:tab w:val="clear" w:pos="860" w:leader="none"/>
      </w:tabs>
      <w:outlineLvl w:val="7"/>
    </w:pPr>
    <w:rPr>
      <w:rFonts w:ascii="宋体"/>
      <w:sz w:val="28"/>
      <w:szCs w:val="20"/>
    </w:rPr>
  </w:style>
  <w:style w:type="paragraph" w:styleId="1246">
    <w:name w:val="表格1"/>
    <w:basedOn w:val="1094"/>
    <w:next w:val="1246"/>
    <w:link w:val="1094"/>
    <w:qFormat/>
    <w:pPr>
      <w:ind w:firstLine="480"/>
      <w:jc w:val="center"/>
    </w:pPr>
    <w:rPr>
      <w:sz w:val="24"/>
      <w:szCs w:val="20"/>
    </w:rPr>
  </w:style>
  <w:style w:type="paragraph" w:styleId="1247">
    <w:name w:val="纯文本1"/>
    <w:next w:val="1151"/>
    <w:link w:val="1094"/>
    <w:qFormat/>
    <w:pPr>
      <w:jc w:val="both"/>
      <w:widowControl w:val="off"/>
    </w:pPr>
    <w:rPr>
      <w:rFonts w:ascii="宋体" w:hAnsi="宋体" w:eastAsia="宋体" w:cs="Times New Roman"/>
      <w:sz w:val="26"/>
      <w:lang w:val="en-US" w:eastAsia="zh-CN" w:bidi="ar-SA"/>
    </w:rPr>
  </w:style>
  <w:style w:type="paragraph" w:styleId="1248">
    <w:name w:val="xl23"/>
    <w:basedOn w:val="1094"/>
    <w:next w:val="1248"/>
    <w:link w:val="1094"/>
    <w:qFormat/>
    <w:pPr>
      <w:spacing w:before="100" w:beforeAutospacing="1" w:after="100" w:afterAutospacing="1" w:line="360" w:lineRule="auto"/>
      <w:widowControl/>
    </w:pPr>
    <w:rPr>
      <w:sz w:val="24"/>
      <w:szCs w:val="20"/>
    </w:rPr>
  </w:style>
  <w:style w:type="paragraph" w:styleId="1249">
    <w:name w:val="项目符号1"/>
    <w:basedOn w:val="1242"/>
    <w:next w:val="1249"/>
    <w:link w:val="1094"/>
    <w:qFormat/>
    <w:pPr>
      <w:ind w:left="-25" w:firstLine="0"/>
    </w:pPr>
  </w:style>
  <w:style w:type="paragraph" w:styleId="1250">
    <w:name w:val="正文 + 宋体"/>
    <w:basedOn w:val="1094"/>
    <w:next w:val="1250"/>
    <w:link w:val="1094"/>
    <w:qFormat/>
    <w:pPr>
      <w:ind w:left="360" w:hanging="360"/>
      <w:jc w:val="left"/>
      <w:widowControl/>
    </w:pPr>
    <w:rPr>
      <w:rFonts w:ascii="宋体" w:hAnsi="宋体" w:cs="宋体"/>
      <w:b/>
      <w:bCs/>
      <w:color w:val="000000"/>
      <w:sz w:val="18"/>
      <w:szCs w:val="18"/>
    </w:rPr>
  </w:style>
  <w:style w:type="paragraph" w:styleId="1251">
    <w:name w:val="xl52"/>
    <w:basedOn w:val="1094"/>
    <w:next w:val="1251"/>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2">
    <w:name w:val="图文"/>
    <w:basedOn w:val="1094"/>
    <w:next w:val="1252"/>
    <w:link w:val="1094"/>
    <w:qFormat/>
    <w:pPr>
      <w:spacing w:after="50" w:line="360" w:lineRule="auto"/>
    </w:pPr>
    <w:rPr>
      <w:sz w:val="24"/>
    </w:rPr>
  </w:style>
  <w:style w:type="paragraph" w:styleId="1253">
    <w:name w:val="xl47"/>
    <w:basedOn w:val="1094"/>
    <w:next w:val="1253"/>
    <w:link w:val="10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项目编号1"/>
    <w:basedOn w:val="1094"/>
    <w:next w:val="1254"/>
    <w:link w:val="1094"/>
    <w:qFormat/>
    <w:pPr>
      <w:numPr>
        <w:ilvl w:val="0"/>
        <w:numId w:val="3"/>
      </w:numPr>
      <w:spacing w:before="100" w:beforeAutospacing="1" w:after="100" w:afterAutospacing="1" w:line="360" w:lineRule="auto"/>
    </w:pPr>
    <w:rPr>
      <w:sz w:val="24"/>
    </w:rPr>
  </w:style>
  <w:style w:type="paragraph" w:styleId="1255">
    <w:name w:val="三级条标题"/>
    <w:basedOn w:val="1238"/>
    <w:next w:val="1094"/>
    <w:link w:val="1094"/>
    <w:qFormat/>
    <w:pPr>
      <w:numPr>
        <w:ilvl w:val="3"/>
        <w:numId w:val="1"/>
      </w:numPr>
      <w:ind w:left="0" w:hanging="840"/>
      <w:tabs>
        <w:tab w:val="left" w:pos="360" w:leader="none"/>
        <w:tab w:val="left" w:pos="840" w:leader="none"/>
      </w:tabs>
      <w:outlineLvl w:val="3"/>
    </w:pPr>
  </w:style>
  <w:style w:type="paragraph" w:styleId="1256">
    <w:name w:val="正文 A"/>
    <w:next w:val="1256"/>
    <w:link w:val="1094"/>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57">
    <w:name w:val="字元 字元1"/>
    <w:basedOn w:val="1094"/>
    <w:next w:val="1257"/>
    <w:link w:val="1094"/>
    <w:qFormat/>
    <w:rPr>
      <w:rFonts w:ascii="Tahoma" w:hAnsi="Tahoma"/>
      <w:sz w:val="24"/>
      <w:szCs w:val="20"/>
    </w:rPr>
  </w:style>
  <w:style w:type="paragraph" w:styleId="1258">
    <w:name w:val="Char3"/>
    <w:basedOn w:val="1094"/>
    <w:next w:val="1258"/>
    <w:link w:val="1094"/>
    <w:qFormat/>
    <w:pPr>
      <w:tabs>
        <w:tab w:val="left" w:pos="360" w:leader="none"/>
      </w:tabs>
    </w:pPr>
    <w:rPr>
      <w:sz w:val="24"/>
    </w:rPr>
  </w:style>
  <w:style w:type="paragraph" w:styleId="1259">
    <w:name w:val="xl43"/>
    <w:basedOn w:val="1094"/>
    <w:next w:val="1259"/>
    <w:link w:val="10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0">
    <w:name w:val="xl50"/>
    <w:basedOn w:val="1094"/>
    <w:next w:val="1260"/>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1">
    <w:name w:val="Table Paragraph"/>
    <w:basedOn w:val="1094"/>
    <w:next w:val="1261"/>
    <w:link w:val="1094"/>
    <w:uiPriority w:val="1"/>
    <w:qFormat/>
    <w:pPr>
      <w:jc w:val="left"/>
    </w:pPr>
    <w:rPr>
      <w:rFonts w:ascii="宋体" w:hAnsi="宋体" w:cs="宋体"/>
      <w:sz w:val="22"/>
      <w:szCs w:val="22"/>
      <w:lang w:eastAsia="en-US"/>
    </w:rPr>
  </w:style>
  <w:style w:type="paragraph" w:styleId="1262">
    <w:name w:val="Char Char1"/>
    <w:basedOn w:val="1125"/>
    <w:next w:val="1262"/>
    <w:link w:val="1094"/>
    <w:qFormat/>
    <w:rPr>
      <w:rFonts w:ascii="Tahoma" w:hAnsi="Tahoma"/>
      <w:sz w:val="24"/>
    </w:rPr>
  </w:style>
  <w:style w:type="paragraph" w:styleId="1263">
    <w:name w:val="xl27"/>
    <w:basedOn w:val="1094"/>
    <w:next w:val="1263"/>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4">
    <w:name w:val="Char22"/>
    <w:basedOn w:val="1094"/>
    <w:next w:val="1264"/>
    <w:link w:val="1094"/>
    <w:qFormat/>
    <w:rPr>
      <w:rFonts w:ascii="Tahoma" w:hAnsi="Tahoma"/>
      <w:sz w:val="24"/>
      <w:szCs w:val="20"/>
    </w:rPr>
  </w:style>
  <w:style w:type="paragraph" w:styleId="1265">
    <w:name w:val="font9"/>
    <w:basedOn w:val="1094"/>
    <w:next w:val="1265"/>
    <w:link w:val="1094"/>
    <w:qFormat/>
    <w:pPr>
      <w:jc w:val="left"/>
      <w:spacing w:before="100" w:beforeAutospacing="1" w:after="100" w:afterAutospacing="1"/>
      <w:widowControl/>
    </w:pPr>
    <w:rPr>
      <w:rFonts w:hint="eastAsia" w:ascii="宋体" w:hAnsi="宋体" w:cs="Arial Unicode MS"/>
      <w:color w:val="000000"/>
      <w:sz w:val="20"/>
      <w:szCs w:val="20"/>
    </w:rPr>
  </w:style>
  <w:style w:type="paragraph" w:styleId="1266">
    <w:name w:val="xl25"/>
    <w:basedOn w:val="1094"/>
    <w:next w:val="1266"/>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7">
    <w:name w:val="Char2 Char Char Char Char Char Char1"/>
    <w:basedOn w:val="1094"/>
    <w:next w:val="1267"/>
    <w:link w:val="1094"/>
    <w:qFormat/>
    <w:pPr>
      <w:jc w:val="center"/>
      <w:spacing w:line="400" w:lineRule="exact"/>
      <w:widowControl/>
    </w:pPr>
  </w:style>
  <w:style w:type="paragraph" w:styleId="1268">
    <w:name w:val="Char Char Char Char Char Char Char Char Char Char1"/>
    <w:basedOn w:val="1094"/>
    <w:next w:val="1268"/>
    <w:link w:val="1094"/>
    <w:qFormat/>
    <w:rPr>
      <w:rFonts w:ascii="宋体" w:hAnsi="宋体" w:cs="Courier New"/>
      <w:sz w:val="32"/>
      <w:szCs w:val="32"/>
    </w:rPr>
  </w:style>
  <w:style w:type="paragraph" w:styleId="1269">
    <w:name w:val="Char Char Char1 Char"/>
    <w:basedOn w:val="1094"/>
    <w:next w:val="1269"/>
    <w:link w:val="1094"/>
    <w:qFormat/>
    <w:rPr>
      <w:rFonts w:ascii="Tahoma" w:hAnsi="Tahoma"/>
      <w:sz w:val="24"/>
      <w:szCs w:val="20"/>
    </w:rPr>
  </w:style>
  <w:style w:type="paragraph" w:styleId="1270">
    <w:name w:val="正文文本样式 加粗"/>
    <w:basedOn w:val="1242"/>
    <w:next w:val="1270"/>
    <w:link w:val="1094"/>
    <w:qFormat/>
    <w:rPr>
      <w:b/>
    </w:rPr>
  </w:style>
  <w:style w:type="paragraph" w:styleId="1271">
    <w:name w:val="xl33"/>
    <w:basedOn w:val="1094"/>
    <w:next w:val="1271"/>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xl39"/>
    <w:basedOn w:val="1094"/>
    <w:next w:val="1272"/>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name w:val="xl26"/>
    <w:basedOn w:val="1094"/>
    <w:next w:val="1273"/>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4">
    <w:name w:val="xl53"/>
    <w:basedOn w:val="1094"/>
    <w:next w:val="1274"/>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5">
    <w:name w:val="font8"/>
    <w:basedOn w:val="1094"/>
    <w:next w:val="1275"/>
    <w:link w:val="1094"/>
    <w:qFormat/>
    <w:pPr>
      <w:jc w:val="left"/>
      <w:spacing w:before="100" w:beforeAutospacing="1" w:after="100" w:afterAutospacing="1"/>
      <w:widowControl/>
    </w:pPr>
    <w:rPr>
      <w:sz w:val="36"/>
      <w:szCs w:val="36"/>
    </w:rPr>
  </w:style>
  <w:style w:type="paragraph" w:styleId="1276">
    <w:name w:val="xl38"/>
    <w:basedOn w:val="1094"/>
    <w:next w:val="1276"/>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7">
    <w:name w:val="Char Char1 Char Char Char Char Char Char"/>
    <w:basedOn w:val="1094"/>
    <w:next w:val="1277"/>
    <w:link w:val="1094"/>
    <w:qFormat/>
    <w:pPr>
      <w:jc w:val="left"/>
      <w:spacing w:after="160" w:line="240" w:lineRule="exact"/>
      <w:widowControl/>
    </w:pPr>
    <w:rPr>
      <w:rFonts w:ascii="Verdana" w:hAnsi="Verdana" w:eastAsia="仿宋_GB2312"/>
      <w:sz w:val="24"/>
      <w:szCs w:val="20"/>
      <w:lang w:eastAsia="en-US"/>
    </w:rPr>
  </w:style>
  <w:style w:type="paragraph" w:styleId="1278">
    <w:name w:val="22222222222222"/>
    <w:basedOn w:val="1094"/>
    <w:next w:val="1278"/>
    <w:link w:val="1094"/>
    <w:qFormat/>
    <w:pPr>
      <w:ind w:firstLine="480"/>
      <w:jc w:val="left"/>
      <w:spacing w:line="360" w:lineRule="auto"/>
      <w:widowControl/>
    </w:pPr>
    <w:rPr>
      <w:color w:val="ff0000"/>
      <w:sz w:val="24"/>
      <w:szCs w:val="20"/>
    </w:rPr>
  </w:style>
  <w:style w:type="paragraph" w:styleId="1279">
    <w:name w:val="四级条标题"/>
    <w:basedOn w:val="1255"/>
    <w:next w:val="1094"/>
    <w:link w:val="1094"/>
    <w:qFormat/>
    <w:pPr>
      <w:numPr>
        <w:ilvl w:val="4"/>
      </w:numPr>
      <w:ind w:left="0" w:hanging="840"/>
      <w:tabs>
        <w:tab w:val="left" w:pos="360" w:leader="none"/>
        <w:tab w:val="left" w:pos="840" w:leader="none"/>
      </w:tabs>
      <w:outlineLvl w:val="4"/>
    </w:pPr>
  </w:style>
  <w:style w:type="paragraph" w:styleId="1280">
    <w:name w:val="项目编号2"/>
    <w:basedOn w:val="1254"/>
    <w:next w:val="1280"/>
    <w:link w:val="1094"/>
    <w:qFormat/>
    <w:pPr>
      <w:numPr>
        <w:numId w:val="4"/>
      </w:numPr>
    </w:pPr>
  </w:style>
  <w:style w:type="paragraph" w:styleId="1281">
    <w:name w:val="Char"/>
    <w:basedOn w:val="1094"/>
    <w:next w:val="1281"/>
    <w:link w:val="1094"/>
    <w:qFormat/>
    <w:pPr>
      <w:tabs>
        <w:tab w:val="left" w:pos="360" w:leader="none"/>
      </w:tabs>
    </w:pPr>
    <w:rPr>
      <w:sz w:val="24"/>
    </w:rPr>
  </w:style>
  <w:style w:type="paragraph" w:styleId="1282">
    <w:name w:val="Char Char Char1 Char2"/>
    <w:basedOn w:val="1094"/>
    <w:next w:val="1282"/>
    <w:link w:val="1094"/>
    <w:qFormat/>
    <w:rPr>
      <w:rFonts w:ascii="Tahoma" w:hAnsi="Tahoma"/>
      <w:sz w:val="24"/>
      <w:szCs w:val="20"/>
    </w:rPr>
  </w:style>
  <w:style w:type="paragraph" w:styleId="1283">
    <w:name w:val="Char1"/>
    <w:basedOn w:val="1094"/>
    <w:next w:val="1283"/>
    <w:link w:val="1094"/>
    <w:qFormat/>
    <w:pPr>
      <w:tabs>
        <w:tab w:val="left" w:pos="360" w:leader="none"/>
      </w:tabs>
    </w:pPr>
    <w:rPr>
      <w:sz w:val="24"/>
    </w:rPr>
  </w:style>
  <w:style w:type="paragraph" w:styleId="1284">
    <w:name w:val="Char Char Char Char Char Char Char"/>
    <w:basedOn w:val="1094"/>
    <w:next w:val="1284"/>
    <w:link w:val="1094"/>
    <w:qFormat/>
    <w:pPr>
      <w:ind w:firstLine="200"/>
      <w:spacing w:line="360" w:lineRule="auto"/>
    </w:pPr>
    <w:rPr>
      <w:rFonts w:eastAsia="仿宋_GB2312"/>
      <w:sz w:val="24"/>
    </w:rPr>
  </w:style>
  <w:style w:type="paragraph" w:styleId="1285">
    <w:name w:val="Char Char Char Char Char Char Char Char Char Char Char Char Char Char Char Char1"/>
    <w:basedOn w:val="1094"/>
    <w:next w:val="1285"/>
    <w:link w:val="1094"/>
    <w:qFormat/>
    <w:pPr>
      <w:jc w:val="center"/>
      <w:spacing w:after="160" w:line="240" w:lineRule="exact"/>
      <w:widowControl/>
    </w:pPr>
    <w:rPr>
      <w:rFonts w:ascii="宋体" w:hAnsi="宋体"/>
      <w:b/>
      <w:sz w:val="30"/>
      <w:szCs w:val="30"/>
      <w:lang w:eastAsia="en-US"/>
    </w:rPr>
  </w:style>
  <w:style w:type="paragraph" w:styleId="1286">
    <w:name w:val="Char Char Char2"/>
    <w:basedOn w:val="1094"/>
    <w:next w:val="1286"/>
    <w:link w:val="1094"/>
    <w:qFormat/>
    <w:rPr>
      <w:rFonts w:ascii="Tahoma" w:hAnsi="Tahoma"/>
      <w:sz w:val="24"/>
      <w:szCs w:val="20"/>
    </w:rPr>
  </w:style>
  <w:style w:type="paragraph" w:styleId="1287">
    <w:name w:val="xl49"/>
    <w:basedOn w:val="1094"/>
    <w:next w:val="1287"/>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8">
    <w:name w:val="xl34"/>
    <w:basedOn w:val="1094"/>
    <w:next w:val="1288"/>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9">
    <w:name w:val="样式2"/>
    <w:basedOn w:val="1161"/>
    <w:next w:val="1289"/>
    <w:link w:val="1094"/>
    <w:qFormat/>
    <w:pPr>
      <w:jc w:val="center"/>
      <w:spacing w:line="360" w:lineRule="auto"/>
    </w:pPr>
    <w:rPr>
      <w:sz w:val="24"/>
    </w:rPr>
  </w:style>
  <w:style w:type="paragraph" w:styleId="1290">
    <w:name w:val="正文须知-1级"/>
    <w:basedOn w:val="1094"/>
    <w:next w:val="1094"/>
    <w:link w:val="1094"/>
    <w:qFormat/>
    <w:pPr>
      <w:numPr>
        <w:ilvl w:val="0"/>
        <w:numId w:val="2"/>
      </w:numPr>
      <w:spacing w:line="300" w:lineRule="auto"/>
    </w:pPr>
    <w:rPr>
      <w:rFonts w:ascii="宋体" w:hAnsi="Calibri"/>
      <w:sz w:val="24"/>
      <w:szCs w:val="21"/>
    </w:rPr>
  </w:style>
  <w:style w:type="paragraph" w:styleId="1291">
    <w:name w:val="xl41"/>
    <w:basedOn w:val="1094"/>
    <w:next w:val="1291"/>
    <w:link w:val="10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2">
    <w:name w:val="font7"/>
    <w:basedOn w:val="1094"/>
    <w:next w:val="1292"/>
    <w:link w:val="1094"/>
    <w:qFormat/>
    <w:pPr>
      <w:jc w:val="left"/>
      <w:spacing w:before="100" w:beforeAutospacing="1" w:after="100" w:afterAutospacing="1"/>
      <w:widowControl/>
    </w:pPr>
    <w:rPr>
      <w:rFonts w:eastAsia="Arial Unicode MS"/>
      <w:b/>
      <w:bCs/>
      <w:color w:val="000000"/>
      <w:sz w:val="20"/>
      <w:szCs w:val="20"/>
    </w:rPr>
  </w:style>
  <w:style w:type="paragraph" w:styleId="1293">
    <w:name w:val="无间隔"/>
    <w:next w:val="1293"/>
    <w:link w:val="1094"/>
    <w:qFormat/>
    <w:pPr>
      <w:jc w:val="both"/>
      <w:widowControl w:val="off"/>
    </w:pPr>
    <w:rPr>
      <w:sz w:val="21"/>
      <w:szCs w:val="24"/>
      <w:lang w:val="en-US" w:eastAsia="zh-CN" w:bidi="ar-SA"/>
    </w:rPr>
  </w:style>
  <w:style w:type="paragraph" w:styleId="1294">
    <w:name w:val="_Style 160"/>
    <w:next w:val="1294"/>
    <w:link w:val="1094"/>
    <w:qFormat/>
    <w:rPr>
      <w:sz w:val="21"/>
      <w:szCs w:val="24"/>
      <w:lang w:val="en-US" w:eastAsia="zh-CN" w:bidi="ar-SA"/>
    </w:rPr>
  </w:style>
  <w:style w:type="paragraph" w:styleId="1295">
    <w:name w:val="xl31"/>
    <w:basedOn w:val="1094"/>
    <w:next w:val="1295"/>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6">
    <w:name w:val="Revision"/>
    <w:next w:val="1296"/>
    <w:link w:val="1094"/>
    <w:qFormat/>
    <w:rPr>
      <w:sz w:val="21"/>
      <w:szCs w:val="24"/>
      <w:lang w:val="en-US" w:eastAsia="zh-CN" w:bidi="ar-SA"/>
    </w:rPr>
  </w:style>
  <w:style w:type="paragraph" w:styleId="1297">
    <w:name w:val="xl46"/>
    <w:basedOn w:val="1094"/>
    <w:next w:val="1297"/>
    <w:link w:val="109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8">
    <w:name w:val="xl42"/>
    <w:basedOn w:val="1094"/>
    <w:next w:val="1298"/>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9">
    <w:name w:val="Char Char Char Char Char Char Char Char Char Char"/>
    <w:basedOn w:val="1094"/>
    <w:next w:val="1299"/>
    <w:link w:val="1094"/>
    <w:qFormat/>
  </w:style>
  <w:style w:type="paragraph" w:styleId="1300">
    <w:name w:val="xl35"/>
    <w:basedOn w:val="1094"/>
    <w:next w:val="1300"/>
    <w:link w:val="10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1">
    <w:name w:val="Char Char Char Char Char Char Char Char Char Char2"/>
    <w:basedOn w:val="1094"/>
    <w:next w:val="1301"/>
    <w:link w:val="1094"/>
    <w:qFormat/>
    <w:rPr>
      <w:rFonts w:ascii="宋体" w:hAnsi="宋体" w:cs="Courier New"/>
      <w:sz w:val="32"/>
      <w:szCs w:val="32"/>
    </w:rPr>
  </w:style>
  <w:style w:type="paragraph" w:styleId="1302">
    <w:name w:val="xl40"/>
    <w:basedOn w:val="1094"/>
    <w:next w:val="1302"/>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name w:val="无标题条"/>
    <w:next w:val="1094"/>
    <w:link w:val="1094"/>
    <w:qFormat/>
    <w:pPr>
      <w:jc w:val="both"/>
    </w:pPr>
    <w:rPr>
      <w:sz w:val="21"/>
      <w:lang w:val="en-US" w:eastAsia="zh-CN" w:bidi="ar-SA"/>
    </w:rPr>
  </w:style>
  <w:style w:type="paragraph" w:styleId="1304">
    <w:name w:val="缺省文本"/>
    <w:basedOn w:val="1094"/>
    <w:next w:val="1304"/>
    <w:link w:val="1094"/>
    <w:qFormat/>
    <w:pPr>
      <w:jc w:val="left"/>
    </w:pPr>
    <w:rPr>
      <w:sz w:val="24"/>
    </w:rPr>
  </w:style>
  <w:style w:type="paragraph" w:styleId="1305">
    <w:name w:val="默认段落字体 Para Char Char Char Char"/>
    <w:basedOn w:val="1094"/>
    <w:next w:val="1305"/>
    <w:link w:val="1094"/>
    <w:qFormat/>
    <w:rPr>
      <w:rFonts w:ascii="Arial" w:hAnsi="Arial" w:cs="Arial"/>
      <w:szCs w:val="21"/>
    </w:rPr>
  </w:style>
  <w:style w:type="paragraph" w:styleId="1306">
    <w:name w:val="列出段落2"/>
    <w:basedOn w:val="1094"/>
    <w:next w:val="1306"/>
    <w:link w:val="1094"/>
    <w:qFormat/>
    <w:pPr>
      <w:ind w:firstLine="420"/>
    </w:pPr>
    <w:rPr>
      <w:rFonts w:ascii="Calibri" w:hAnsi="Calibri"/>
      <w:szCs w:val="22"/>
    </w:rPr>
  </w:style>
  <w:style w:type="paragraph" w:styleId="1307">
    <w:name w:val="Char Char Char1"/>
    <w:basedOn w:val="1094"/>
    <w:next w:val="1307"/>
    <w:link w:val="1094"/>
    <w:qFormat/>
    <w:rPr>
      <w:rFonts w:ascii="Tahoma" w:hAnsi="Tahoma"/>
      <w:sz w:val="24"/>
      <w:szCs w:val="20"/>
    </w:rPr>
  </w:style>
  <w:style w:type="paragraph" w:styleId="1308">
    <w:name w:val="Char21"/>
    <w:basedOn w:val="1094"/>
    <w:next w:val="1308"/>
    <w:link w:val="1094"/>
    <w:qFormat/>
    <w:rPr>
      <w:rFonts w:ascii="Tahoma" w:hAnsi="Tahoma"/>
      <w:sz w:val="24"/>
      <w:szCs w:val="20"/>
    </w:rPr>
  </w:style>
  <w:style w:type="paragraph" w:styleId="1309">
    <w:name w:val="五级条标题"/>
    <w:basedOn w:val="1279"/>
    <w:next w:val="1094"/>
    <w:link w:val="1094"/>
    <w:qFormat/>
    <w:pPr>
      <w:numPr>
        <w:ilvl w:val="5"/>
      </w:numPr>
      <w:ind w:left="0" w:hanging="840"/>
      <w:tabs>
        <w:tab w:val="left" w:pos="360" w:leader="none"/>
        <w:tab w:val="left" w:pos="840" w:leader="none"/>
      </w:tabs>
      <w:outlineLvl w:val="5"/>
    </w:pPr>
  </w:style>
  <w:style w:type="paragraph" w:styleId="1310">
    <w:name w:val="正文 + 楷体_GB2312"/>
    <w:basedOn w:val="1094"/>
    <w:next w:val="1310"/>
    <w:link w:val="1094"/>
    <w:qFormat/>
    <w:pPr>
      <w:jc w:val="left"/>
      <w:widowControl/>
    </w:pPr>
    <w:rPr>
      <w:rFonts w:ascii="楷体_GB2312" w:eastAsia="楷体_GB2312" w:cs="Arial"/>
      <w:sz w:val="24"/>
    </w:rPr>
  </w:style>
  <w:style w:type="paragraph" w:styleId="1311">
    <w:name w:val="xl37"/>
    <w:basedOn w:val="1094"/>
    <w:next w:val="1311"/>
    <w:link w:val="109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2">
    <w:name w:val="xl32"/>
    <w:basedOn w:val="1094"/>
    <w:next w:val="1312"/>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3">
    <w:name w:val="字元 字元2"/>
    <w:basedOn w:val="1094"/>
    <w:next w:val="1313"/>
    <w:link w:val="1094"/>
    <w:qFormat/>
    <w:rPr>
      <w:rFonts w:ascii="Tahoma" w:hAnsi="Tahoma"/>
      <w:sz w:val="24"/>
      <w:szCs w:val="20"/>
    </w:rPr>
  </w:style>
  <w:style w:type="paragraph" w:styleId="1314">
    <w:name w:val="样式 宋体 五号 行距: 单倍行距"/>
    <w:basedOn w:val="1094"/>
    <w:next w:val="1314"/>
    <w:link w:val="1094"/>
    <w:qFormat/>
    <w:pPr>
      <w:jc w:val="left"/>
    </w:pPr>
    <w:rPr>
      <w:rFonts w:ascii="宋体" w:hAnsi="宋体"/>
      <w:szCs w:val="20"/>
    </w:rPr>
  </w:style>
  <w:style w:type="paragraph" w:styleId="1315">
    <w:name w:val="列出段落1"/>
    <w:basedOn w:val="1179"/>
    <w:next w:val="1315"/>
    <w:link w:val="1094"/>
    <w:qFormat/>
    <w:pPr>
      <w:ind w:firstLine="420"/>
    </w:pPr>
    <w:rPr>
      <w:rFonts w:ascii="Calibri" w:hAnsi="Calibri"/>
      <w:szCs w:val="22"/>
    </w:rPr>
  </w:style>
  <w:style w:type="paragraph" w:styleId="1316">
    <w:name w:val="Char2"/>
    <w:basedOn w:val="1094"/>
    <w:next w:val="1316"/>
    <w:link w:val="1094"/>
    <w:qFormat/>
    <w:rPr>
      <w:rFonts w:ascii="Tahoma" w:hAnsi="Tahoma"/>
      <w:sz w:val="24"/>
      <w:szCs w:val="20"/>
    </w:rPr>
  </w:style>
  <w:style w:type="paragraph" w:styleId="1317">
    <w:name w:val="字元 字元"/>
    <w:basedOn w:val="1094"/>
    <w:next w:val="1317"/>
    <w:link w:val="1094"/>
    <w:qFormat/>
    <w:rPr>
      <w:rFonts w:ascii="Tahoma" w:hAnsi="Tahoma"/>
      <w:sz w:val="24"/>
      <w:szCs w:val="20"/>
    </w:rPr>
  </w:style>
  <w:style w:type="paragraph" w:styleId="1318">
    <w:name w:val="文档正文"/>
    <w:basedOn w:val="1094"/>
    <w:next w:val="1318"/>
    <w:link w:val="1094"/>
    <w:qFormat/>
    <w:pPr>
      <w:spacing w:before="120" w:after="120" w:line="180" w:lineRule="auto"/>
    </w:pPr>
    <w:rPr>
      <w:rFonts w:ascii="Arial" w:hAnsi="Arial"/>
      <w:szCs w:val="20"/>
    </w:rPr>
  </w:style>
  <w:style w:type="paragraph" w:styleId="1319">
    <w:name w:val="正文缩进2"/>
    <w:basedOn w:val="1094"/>
    <w:next w:val="1319"/>
    <w:link w:val="1094"/>
    <w:qFormat/>
    <w:pPr>
      <w:ind w:firstLine="567"/>
      <w:spacing w:line="480" w:lineRule="exact"/>
      <w:widowControl/>
    </w:pPr>
    <w:rPr>
      <w:rFonts w:ascii="宋体"/>
      <w:color w:val="000000"/>
      <w:sz w:val="28"/>
      <w:szCs w:val="20"/>
      <w:lang w:val="zh-CN" w:eastAsia="zh-CN"/>
    </w:rPr>
  </w:style>
  <w:style w:type="paragraph" w:styleId="1320">
    <w:name w:val="Char3 Char Char Char1"/>
    <w:basedOn w:val="1094"/>
    <w:next w:val="1320"/>
    <w:link w:val="1094"/>
    <w:qFormat/>
    <w:rPr>
      <w:rFonts w:ascii="Tahoma" w:hAnsi="Tahoma"/>
      <w:sz w:val="24"/>
      <w:szCs w:val="20"/>
    </w:rPr>
  </w:style>
  <w:style w:type="paragraph" w:styleId="1321">
    <w:name w:val="Char Char Char Char Char Char Char Char Char Char Char Char Char Char Char Char"/>
    <w:basedOn w:val="1094"/>
    <w:next w:val="1321"/>
    <w:link w:val="1094"/>
    <w:qFormat/>
    <w:pPr>
      <w:jc w:val="center"/>
      <w:spacing w:after="160" w:line="240" w:lineRule="exact"/>
      <w:widowControl/>
    </w:pPr>
    <w:rPr>
      <w:rFonts w:ascii="宋体" w:hAnsi="宋体"/>
      <w:b/>
      <w:sz w:val="30"/>
      <w:szCs w:val="30"/>
      <w:lang w:eastAsia="en-US"/>
    </w:rPr>
  </w:style>
  <w:style w:type="paragraph" w:styleId="1322">
    <w:name w:val="图例"/>
    <w:basedOn w:val="1094"/>
    <w:next w:val="1322"/>
    <w:link w:val="1094"/>
    <w:qFormat/>
    <w:pPr>
      <w:jc w:val="center"/>
      <w:spacing w:before="120" w:after="120" w:line="360" w:lineRule="auto"/>
    </w:pPr>
    <w:rPr>
      <w:rFonts w:eastAsia="仿宋_GB2312"/>
      <w:b/>
      <w:sz w:val="24"/>
      <w:szCs w:val="20"/>
    </w:rPr>
  </w:style>
  <w:style w:type="paragraph" w:styleId="1323">
    <w:name w:val="xl24"/>
    <w:basedOn w:val="1094"/>
    <w:next w:val="1323"/>
    <w:link w:val="10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4">
    <w:name w:val="font6"/>
    <w:basedOn w:val="1094"/>
    <w:next w:val="1324"/>
    <w:link w:val="1094"/>
    <w:qFormat/>
    <w:pPr>
      <w:jc w:val="left"/>
      <w:spacing w:before="100" w:beforeAutospacing="1" w:after="100" w:afterAutospacing="1"/>
      <w:widowControl/>
    </w:pPr>
    <w:rPr>
      <w:rFonts w:ascii="宋体" w:hAnsi="宋体" w:cs="宋体"/>
      <w:sz w:val="20"/>
      <w:szCs w:val="20"/>
    </w:rPr>
  </w:style>
  <w:style w:type="paragraph" w:styleId="1325">
    <w:name w:val="项目编号3"/>
    <w:basedOn w:val="1242"/>
    <w:next w:val="1325"/>
    <w:link w:val="1094"/>
    <w:qFormat/>
    <w:pPr>
      <w:numPr>
        <w:ilvl w:val="0"/>
        <w:numId w:val="5"/>
      </w:numPr>
    </w:pPr>
  </w:style>
  <w:style w:type="paragraph" w:styleId="1326">
    <w:name w:val="样式 标题 2 + 宋体 五号 行距: 单倍行距"/>
    <w:basedOn w:val="1096"/>
    <w:next w:val="1326"/>
    <w:link w:val="1094"/>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327">
    <w:name w:val="Char Char Char1 Char1"/>
    <w:basedOn w:val="1094"/>
    <w:next w:val="1327"/>
    <w:link w:val="1094"/>
    <w:qFormat/>
    <w:rPr>
      <w:rFonts w:ascii="Tahoma" w:hAnsi="Tahoma"/>
      <w:sz w:val="24"/>
      <w:szCs w:val="20"/>
    </w:rPr>
  </w:style>
  <w:style w:type="paragraph" w:styleId="1328">
    <w:name w:val="1名"/>
    <w:basedOn w:val="1094"/>
    <w:next w:val="1328"/>
    <w:link w:val="1094"/>
    <w:qFormat/>
    <w:pPr>
      <w:numPr>
        <w:ilvl w:val="0"/>
        <w:numId w:val="7"/>
      </w:numPr>
      <w:spacing w:before="120"/>
      <w:tabs>
        <w:tab w:val="left" w:pos="360" w:leader="none"/>
      </w:tabs>
    </w:pPr>
    <w:rPr>
      <w:rFonts w:ascii="宋体"/>
      <w:sz w:val="28"/>
      <w:szCs w:val="20"/>
    </w:rPr>
  </w:style>
  <w:style w:type="paragraph" w:styleId="1329">
    <w:name w:val="Default_0"/>
    <w:basedOn w:val="1094"/>
    <w:next w:val="1329"/>
    <w:link w:val="1094"/>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330">
    <w:name w:val="background1"/>
    <w:basedOn w:val="1094"/>
    <w:next w:val="1330"/>
    <w:link w:val="1094"/>
    <w:qFormat/>
    <w:pPr>
      <w:jc w:val="left"/>
      <w:spacing w:before="100" w:beforeAutospacing="1" w:after="100" w:afterAutospacing="1"/>
      <w:widowControl/>
    </w:pPr>
    <w:rPr>
      <w:rFonts w:ascii="宋体" w:hAnsi="宋体" w:cs="宋体"/>
      <w:sz w:val="24"/>
    </w:rPr>
  </w:style>
  <w:style w:type="paragraph" w:styleId="1331">
    <w:name w:val="Char Char Char Char Char Char Char2"/>
    <w:basedOn w:val="1094"/>
    <w:next w:val="1331"/>
    <w:link w:val="1094"/>
    <w:qFormat/>
    <w:pPr>
      <w:ind w:firstLine="200"/>
      <w:spacing w:line="360" w:lineRule="auto"/>
    </w:pPr>
    <w:rPr>
      <w:rFonts w:eastAsia="仿宋_GB2312"/>
      <w:sz w:val="24"/>
    </w:rPr>
  </w:style>
  <w:style w:type="paragraph" w:styleId="1332">
    <w:name w:val="Char3 Char Char Char"/>
    <w:basedOn w:val="1094"/>
    <w:next w:val="1332"/>
    <w:link w:val="1094"/>
    <w:qFormat/>
    <w:rPr>
      <w:rFonts w:ascii="Tahoma" w:hAnsi="Tahoma"/>
      <w:sz w:val="24"/>
      <w:szCs w:val="20"/>
    </w:rPr>
  </w:style>
  <w:style w:type="paragraph" w:styleId="1333">
    <w:name w:val="xl45"/>
    <w:basedOn w:val="1094"/>
    <w:next w:val="1333"/>
    <w:link w:val="109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4">
    <w:name w:val="List Paragraph1"/>
    <w:basedOn w:val="1094"/>
    <w:next w:val="1334"/>
    <w:link w:val="1094"/>
    <w:qFormat/>
    <w:pPr>
      <w:ind w:firstLine="420"/>
    </w:pPr>
    <w:rPr>
      <w:rFonts w:ascii="Calibri" w:hAnsi="Calibri"/>
      <w:szCs w:val="22"/>
    </w:rPr>
  </w:style>
  <w:style w:type="paragraph" w:styleId="1335">
    <w:name w:val="xl44"/>
    <w:basedOn w:val="1094"/>
    <w:next w:val="1335"/>
    <w:link w:val="10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6">
    <w:name w:val="xl51"/>
    <w:basedOn w:val="1094"/>
    <w:next w:val="1336"/>
    <w:link w:val="10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name w:val="??"/>
    <w:next w:val="1337"/>
    <w:link w:val="1094"/>
    <w:qFormat/>
    <w:pPr>
      <w:jc w:val="both"/>
      <w:widowControl w:val="off"/>
    </w:pPr>
    <w:rPr>
      <w:sz w:val="21"/>
      <w:lang w:val="en-US" w:eastAsia="en-US" w:bidi="ar-SA"/>
    </w:rPr>
  </w:style>
  <w:style w:type="paragraph" w:styleId="1338">
    <w:name w:val="Char3 Char Char Char2"/>
    <w:basedOn w:val="1094"/>
    <w:next w:val="1338"/>
    <w:link w:val="1094"/>
    <w:qFormat/>
    <w:rPr>
      <w:rFonts w:ascii="Tahoma" w:hAnsi="Tahoma"/>
      <w:sz w:val="24"/>
      <w:szCs w:val="20"/>
    </w:rPr>
  </w:style>
  <w:style w:type="paragraph" w:styleId="1339">
    <w:name w:val="xl48"/>
    <w:basedOn w:val="1094"/>
    <w:next w:val="1339"/>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0">
    <w:name w:val="xl28"/>
    <w:basedOn w:val="1094"/>
    <w:next w:val="1340"/>
    <w:link w:val="10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1">
    <w:name w:val="正文须知-3级"/>
    <w:basedOn w:val="1094"/>
    <w:next w:val="1341"/>
    <w:link w:val="1094"/>
    <w:qFormat/>
    <w:pPr>
      <w:numPr>
        <w:ilvl w:val="2"/>
        <w:numId w:val="2"/>
      </w:numPr>
      <w:ind w:hanging="355"/>
      <w:spacing w:line="300" w:lineRule="auto"/>
    </w:pPr>
    <w:rPr>
      <w:rFonts w:ascii="宋体" w:hAnsi="Calibri"/>
      <w:sz w:val="24"/>
      <w:szCs w:val="21"/>
    </w:rPr>
  </w:style>
  <w:style w:type="paragraph" w:styleId="1342">
    <w:name w:val="Char Char1 Char Char Char Char Char Char1"/>
    <w:basedOn w:val="1094"/>
    <w:next w:val="1342"/>
    <w:link w:val="1094"/>
    <w:qFormat/>
    <w:pPr>
      <w:jc w:val="left"/>
      <w:spacing w:after="160" w:line="240" w:lineRule="exact"/>
      <w:widowControl/>
    </w:pPr>
    <w:rPr>
      <w:rFonts w:ascii="Verdana" w:hAnsi="Verdana" w:eastAsia="仿宋_GB2312"/>
      <w:sz w:val="24"/>
      <w:szCs w:val="20"/>
      <w:lang w:eastAsia="en-US"/>
    </w:rPr>
  </w:style>
  <w:style w:type="paragraph" w:styleId="1343">
    <w:name w:val="Char Char Char Char Char Char Char1"/>
    <w:basedOn w:val="1094"/>
    <w:next w:val="1343"/>
    <w:link w:val="1094"/>
    <w:qFormat/>
    <w:pPr>
      <w:ind w:firstLine="200"/>
      <w:spacing w:line="360" w:lineRule="auto"/>
    </w:pPr>
    <w:rPr>
      <w:rFonts w:eastAsia="仿宋_GB2312"/>
      <w:sz w:val="24"/>
    </w:rPr>
  </w:style>
  <w:style w:type="paragraph" w:styleId="1344">
    <w:name w:val="Char Char41"/>
    <w:basedOn w:val="1094"/>
    <w:next w:val="1344"/>
    <w:link w:val="1094"/>
    <w:qFormat/>
    <w:pPr>
      <w:jc w:val="center"/>
      <w:spacing w:line="400" w:lineRule="exact"/>
      <w:widowControl/>
    </w:pPr>
  </w:style>
  <w:style w:type="paragraph" w:styleId="1345">
    <w:name w:val="Char Char4"/>
    <w:basedOn w:val="1094"/>
    <w:next w:val="1345"/>
    <w:link w:val="1094"/>
    <w:qFormat/>
    <w:pPr>
      <w:jc w:val="center"/>
      <w:spacing w:line="400" w:lineRule="exact"/>
      <w:widowControl/>
    </w:pPr>
  </w:style>
  <w:style w:type="paragraph" w:styleId="1346">
    <w:name w:val="一、"/>
    <w:basedOn w:val="1094"/>
    <w:next w:val="1346"/>
    <w:link w:val="1094"/>
    <w:qFormat/>
    <w:pPr>
      <w:ind w:firstLine="640"/>
    </w:pPr>
    <w:rPr>
      <w:rFonts w:ascii="黑体" w:hAnsi="黑体" w:eastAsia="黑体"/>
      <w:szCs w:val="32"/>
    </w:rPr>
  </w:style>
  <w:style w:type="paragraph" w:styleId="1347">
    <w:name w:val="标题1-附件"/>
    <w:basedOn w:val="1095"/>
    <w:next w:val="1347"/>
    <w:link w:val="1094"/>
    <w:qFormat/>
    <w:pPr>
      <w:jc w:val="left"/>
    </w:pPr>
    <w:rPr>
      <w:sz w:val="24"/>
      <w:szCs w:val="24"/>
    </w:rPr>
  </w:style>
  <w:style w:type="paragraph" w:styleId="1348">
    <w:name w:val="表格文字"/>
    <w:basedOn w:val="1107"/>
    <w:next w:val="1348"/>
    <w:link w:val="1094"/>
    <w:qFormat/>
    <w:pPr>
      <w:ind w:firstLine="0"/>
      <w:spacing w:before="20" w:after="20" w:line="240" w:lineRule="auto"/>
    </w:pPr>
    <w:rPr>
      <w:rFonts w:ascii="Century Gothic" w:hAnsi="Century Gothic"/>
      <w:sz w:val="20"/>
      <w:szCs w:val="20"/>
    </w:rPr>
  </w:style>
  <w:style w:type="paragraph" w:styleId="1349">
    <w:name w:val="正文_2"/>
    <w:next w:val="1349"/>
    <w:link w:val="1094"/>
    <w:qFormat/>
    <w:pPr>
      <w:jc w:val="both"/>
      <w:widowControl w:val="off"/>
    </w:pPr>
    <w:rPr>
      <w:rFonts w:ascii="Calibri" w:hAnsi="Calibri" w:eastAsia="宋体" w:cs="Times New Roman"/>
      <w:sz w:val="21"/>
      <w:szCs w:val="22"/>
      <w:lang w:val="en-US" w:eastAsia="zh-CN" w:bidi="ar-SA"/>
    </w:rPr>
  </w:style>
  <w:style w:type="paragraph" w:styleId="1350">
    <w:name w:val="Char Char Char"/>
    <w:basedOn w:val="1094"/>
    <w:next w:val="1350"/>
    <w:link w:val="1094"/>
    <w:qFormat/>
    <w:rPr>
      <w:rFonts w:ascii="Tahoma" w:hAnsi="Tahoma"/>
      <w:sz w:val="24"/>
      <w:szCs w:val="20"/>
    </w:rPr>
  </w:style>
  <w:style w:type="paragraph" w:styleId="1351">
    <w:name w:val="default"/>
    <w:basedOn w:val="1094"/>
    <w:next w:val="1351"/>
    <w:link w:val="1094"/>
    <w:qFormat/>
    <w:pPr>
      <w:jc w:val="left"/>
      <w:spacing w:before="100" w:beforeAutospacing="1" w:after="100" w:afterAutospacing="1"/>
      <w:widowControl/>
    </w:pPr>
    <w:rPr>
      <w:rFonts w:ascii="宋体" w:hAnsi="宋体" w:cs="宋体"/>
      <w:sz w:val="24"/>
    </w:rPr>
  </w:style>
  <w:style w:type="paragraph" w:styleId="1352">
    <w:name w:val="List Paragraph"/>
    <w:basedOn w:val="1094"/>
    <w:next w:val="1352"/>
    <w:link w:val="1094"/>
    <w:qFormat/>
    <w:pPr>
      <w:ind w:firstLine="420"/>
    </w:pPr>
    <w:rPr>
      <w:rFonts w:ascii="Calibri" w:hAnsi="Calibri" w:cs="黑体"/>
      <w:szCs w:val="22"/>
    </w:rPr>
  </w:style>
  <w:style w:type="paragraph" w:styleId="1353">
    <w:name w:val="正文文本缩进2"/>
    <w:basedOn w:val="1094"/>
    <w:next w:val="1353"/>
    <w:link w:val="1094"/>
    <w:qFormat/>
    <w:pPr>
      <w:ind w:firstLine="480"/>
      <w:spacing w:line="480" w:lineRule="exact"/>
    </w:pPr>
    <w:rPr>
      <w:rFonts w:ascii="宋体" w:hAnsi="宋体"/>
      <w:sz w:val="24"/>
      <w:lang w:val="zh-CN" w:eastAsia="zh-CN"/>
    </w:rPr>
  </w:style>
  <w:style w:type="paragraph" w:styleId="1354">
    <w:name w:val="正文_1_0"/>
    <w:basedOn w:val="1094"/>
    <w:next w:val="1354"/>
    <w:link w:val="1094"/>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355">
    <w:name w:val="Table Normal"/>
    <w:next w:val="1355"/>
    <w:link w:val="1094"/>
    <w:uiPriority w:val="2"/>
    <w:semiHidden/>
    <w:qFormat/>
    <w:pPr>
      <w:widowControl w:val="off"/>
    </w:pPr>
    <w:rPr>
      <w:rFonts w:ascii="Calibri" w:hAnsi="Calibri"/>
      <w:sz w:val="22"/>
      <w:szCs w:val="22"/>
      <w:lang w:val="en-US" w:eastAsia="en-US" w:bidi="ar-SA"/>
    </w:rPr>
    <w:tblPr/>
  </w:style>
  <w:style w:type="character" w:styleId="1356">
    <w:name w:val="font101"/>
    <w:next w:val="1356"/>
    <w:link w:val="1094"/>
    <w:qFormat/>
    <w:rPr>
      <w:rFonts w:ascii="Times New Roman" w:hAnsi="Times New Roman" w:cs="Times New Roman"/>
      <w:color w:val="000000"/>
      <w:sz w:val="20"/>
      <w:szCs w:val="20"/>
      <w:u w:val="none"/>
      <w:vertAlign w:val="subscript"/>
    </w:rPr>
  </w:style>
  <w:style w:type="character" w:styleId="1357">
    <w:name w:val="font112"/>
    <w:next w:val="1357"/>
    <w:link w:val="1094"/>
    <w:qFormat/>
    <w:rPr>
      <w:rFonts w:hint="eastAsia" w:ascii="宋体" w:hAnsi="宋体" w:eastAsia="宋体" w:cs="宋体"/>
      <w:color w:val="000000"/>
      <w:sz w:val="20"/>
      <w:szCs w:val="20"/>
      <w:u w:val="none"/>
      <w:vertAlign w:val="subscript"/>
    </w:rPr>
  </w:style>
  <w:style w:type="character" w:styleId="1358">
    <w:name w:val="font141"/>
    <w:next w:val="1358"/>
    <w:link w:val="1094"/>
    <w:qFormat/>
    <w:rPr>
      <w:rFonts w:ascii="Times New Roman" w:hAnsi="Times New Roman" w:cs="Times New Roman"/>
      <w:color w:val="000000"/>
      <w:sz w:val="20"/>
      <w:szCs w:val="20"/>
      <w:u w:val="none"/>
      <w:vertAlign w:val="superscript"/>
    </w:rPr>
  </w:style>
  <w:style w:type="character" w:styleId="1359">
    <w:name w:val="font171"/>
    <w:next w:val="1359"/>
    <w:link w:val="1094"/>
    <w:qFormat/>
    <w:rPr>
      <w:rFonts w:ascii="MingLiU-ExtB" w:hAnsi="MingLiU-ExtB" w:eastAsia="MingLiU-ExtB" w:cs="MingLiU-ExtB"/>
      <w:color w:val="000000"/>
      <w:sz w:val="20"/>
      <w:szCs w:val="20"/>
      <w:u w:val="none"/>
    </w:rPr>
  </w:style>
  <w:style w:type="character" w:styleId="1360">
    <w:name w:val="font181"/>
    <w:next w:val="1360"/>
    <w:link w:val="1094"/>
    <w:qFormat/>
    <w:rPr>
      <w:rFonts w:ascii="Arial" w:hAnsi="Arial" w:cs="Arial"/>
      <w:color w:val="000000"/>
      <w:sz w:val="20"/>
      <w:szCs w:val="20"/>
      <w:u w:val="none"/>
    </w:rPr>
  </w:style>
  <w:style w:type="character" w:styleId="1361">
    <w:name w:val="NormalCharacter1"/>
    <w:next w:val="1361"/>
    <w:link w:val="1094"/>
    <w:qFormat/>
    <w:rPr>
      <w:sz w:val="21"/>
      <w:szCs w:val="24"/>
      <w:lang w:val="en-US" w:eastAsia="zh-CN" w:bidi="ar-SA"/>
    </w:rPr>
  </w:style>
  <w:style w:type="paragraph" w:styleId="1362">
    <w:name w:val="null3"/>
    <w:next w:val="1362"/>
    <w:link w:val="1094"/>
    <w:qFormat/>
    <w:rPr>
      <w:rFonts w:hint="eastAsia" w:ascii="Calibri" w:hAnsi="Calibri" w:eastAsia="宋体" w:cs="Times New Roman"/>
      <w:lang w:val="en-US" w:eastAsia="zh-CN" w:bidi="ar-SA"/>
    </w:rPr>
  </w:style>
  <w:style w:type="character" w:styleId="1363">
    <w:name w:val="font41"/>
    <w:basedOn w:val="1104"/>
    <w:next w:val="1363"/>
    <w:link w:val="1094"/>
    <w:rPr>
      <w:rFonts w:hint="eastAsia" w:ascii="宋体" w:hAnsi="宋体" w:eastAsia="宋体" w:cs="宋体"/>
      <w:b/>
      <w:bCs/>
      <w:i w:val="0"/>
      <w:iCs w:val="0"/>
      <w:color w:val="000000"/>
      <w:sz w:val="24"/>
      <w:szCs w:val="24"/>
      <w:u w:val="none"/>
    </w:rPr>
  </w:style>
  <w:style w:type="character" w:styleId="1364">
    <w:name w:val="font01"/>
    <w:basedOn w:val="1104"/>
    <w:next w:val="1364"/>
    <w:link w:val="1094"/>
    <w:rPr>
      <w:rFonts w:hint="eastAsia" w:ascii="宋体" w:hAnsi="宋体" w:eastAsia="宋体" w:cs="宋体"/>
      <w:i w:val="0"/>
      <w:iCs w:val="0"/>
      <w:color w:val="000000"/>
      <w:sz w:val="22"/>
      <w:szCs w:val="22"/>
      <w:u w:val="none"/>
    </w:rPr>
  </w:style>
  <w:style w:type="character" w:styleId="1365">
    <w:name w:val="font61"/>
    <w:basedOn w:val="1104"/>
    <w:next w:val="1365"/>
    <w:link w:val="1094"/>
    <w:rPr>
      <w:rFonts w:hint="eastAsia" w:ascii="宋体" w:hAnsi="宋体" w:eastAsia="宋体" w:cs="宋体"/>
      <w:b/>
      <w:bCs/>
      <w:i w:val="0"/>
      <w:iCs w:val="0"/>
      <w:color w:val="c00000"/>
      <w:sz w:val="22"/>
      <w:szCs w:val="22"/>
      <w:u w:val="none"/>
    </w:rPr>
  </w:style>
  <w:style w:type="character" w:styleId="1366">
    <w:name w:val="font11"/>
    <w:basedOn w:val="1104"/>
    <w:next w:val="1366"/>
    <w:link w:val="1094"/>
    <w:rPr>
      <w:rFonts w:ascii="Times New Roman" w:hAnsi="Times New Roman" w:cs="Times New Roman"/>
      <w:i w:val="0"/>
      <w:iCs w:val="0"/>
      <w:color w:val="000000"/>
      <w:sz w:val="22"/>
      <w:szCs w:val="22"/>
      <w:u w:val="none"/>
    </w:rPr>
  </w:style>
  <w:style w:type="character" w:styleId="1367">
    <w:name w:val="font71"/>
    <w:basedOn w:val="1104"/>
    <w:next w:val="1367"/>
    <w:link w:val="1094"/>
    <w:rPr>
      <w:rFonts w:ascii="Times New Roman" w:hAnsi="Times New Roman" w:cs="Times New Roman"/>
      <w:i w:val="0"/>
      <w:iCs w:val="0"/>
      <w:color w:val="000000"/>
      <w:sz w:val="22"/>
      <w:szCs w:val="22"/>
      <w:u w:val="none"/>
      <w:vertAlign w:val="subscript"/>
    </w:rPr>
  </w:style>
  <w:style w:type="character" w:styleId="1368">
    <w:name w:val="font31"/>
    <w:basedOn w:val="1104"/>
    <w:next w:val="1368"/>
    <w:link w:val="1094"/>
    <w:rPr>
      <w:rFonts w:hint="eastAsia" w:ascii="宋体" w:hAnsi="宋体" w:eastAsia="宋体" w:cs="宋体"/>
      <w:i w:val="0"/>
      <w:iCs w:val="0"/>
      <w:color w:val="000000"/>
      <w:sz w:val="22"/>
      <w:szCs w:val="22"/>
      <w:u w:val="none"/>
    </w:rPr>
  </w:style>
  <w:style w:type="character" w:styleId="1369">
    <w:name w:val="font21"/>
    <w:basedOn w:val="1104"/>
    <w:next w:val="1369"/>
    <w:link w:val="1094"/>
    <w:rPr>
      <w:rFonts w:ascii="Times New Roman" w:hAnsi="Times New Roman" w:cs="Times New Roman"/>
      <w:i w:val="0"/>
      <w:iCs w:val="0"/>
      <w:color w:val="000000"/>
      <w:sz w:val="24"/>
      <w:szCs w:val="24"/>
      <w:u w:val="none"/>
    </w:rPr>
  </w:style>
  <w:style w:type="character" w:styleId="1370">
    <w:name w:val="font51"/>
    <w:basedOn w:val="1104"/>
    <w:next w:val="1370"/>
    <w:link w:val="1094"/>
    <w:rPr>
      <w:rFonts w:hint="eastAsia" w:ascii="宋体" w:hAnsi="宋体" w:eastAsia="宋体" w:cs="宋体"/>
      <w:i w:val="0"/>
      <w:iCs w:val="0"/>
      <w:color w:val="000000"/>
      <w:sz w:val="18"/>
      <w:szCs w:val="18"/>
      <w:u w:val="none"/>
    </w:rPr>
  </w:style>
  <w:style w:type="character" w:styleId="1371" w:default="1">
    <w:name w:val="Default Paragraph Font"/>
    <w:uiPriority w:val="1"/>
    <w:semiHidden/>
    <w:unhideWhenUsed/>
  </w:style>
  <w:style w:type="numbering" w:styleId="1372" w:default="1">
    <w:name w:val="No List"/>
    <w:uiPriority w:val="99"/>
    <w:semiHidden/>
    <w:unhideWhenUsed/>
  </w:style>
  <w:style w:type="table" w:styleId="13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王涛</cp:lastModifiedBy>
  <cp:revision>7</cp:revision>
  <dcterms:created xsi:type="dcterms:W3CDTF">2022-05-30T08:03:00Z</dcterms:created>
  <dcterms:modified xsi:type="dcterms:W3CDTF">2025-11-10T03:12:11Z</dcterms:modified>
</cp:coreProperties>
</file>